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0943" w14:textId="77777777" w:rsidR="002054AF" w:rsidRDefault="002054AF" w:rsidP="002054AF"/>
    <w:p w14:paraId="41C6F8F1" w14:textId="60AEEE92" w:rsidR="007C2C48" w:rsidRPr="007C2C48" w:rsidRDefault="007C2C48" w:rsidP="007C2C48">
      <w:pPr>
        <w:jc w:val="center"/>
        <w:rPr>
          <w:b/>
          <w:sz w:val="56"/>
        </w:rPr>
      </w:pPr>
      <w:r w:rsidRPr="007C2C48">
        <w:rPr>
          <w:b/>
          <w:sz w:val="56"/>
        </w:rPr>
        <w:t>SJEKKLISTE</w:t>
      </w:r>
    </w:p>
    <w:p w14:paraId="0949068D" w14:textId="610DD347" w:rsidR="007C2C48" w:rsidRPr="007C2C48" w:rsidRDefault="007B2D83" w:rsidP="007C2C48">
      <w:pPr>
        <w:jc w:val="center"/>
        <w:rPr>
          <w:b/>
          <w:sz w:val="40"/>
          <w:szCs w:val="44"/>
        </w:rPr>
      </w:pPr>
      <w:r>
        <w:rPr>
          <w:b/>
          <w:sz w:val="40"/>
          <w:szCs w:val="44"/>
        </w:rPr>
        <w:t>R</w:t>
      </w:r>
      <w:r w:rsidR="00325FA2">
        <w:rPr>
          <w:b/>
          <w:sz w:val="40"/>
          <w:szCs w:val="44"/>
        </w:rPr>
        <w:t>e</w:t>
      </w:r>
      <w:r w:rsidR="007C2C48" w:rsidRPr="007C2C48">
        <w:rPr>
          <w:b/>
          <w:sz w:val="40"/>
          <w:szCs w:val="44"/>
        </w:rPr>
        <w:t xml:space="preserve">akkreditering av gradsgivende studieprogram </w:t>
      </w:r>
    </w:p>
    <w:p w14:paraId="6D800C1E" w14:textId="77777777" w:rsidR="000E5342" w:rsidRDefault="000E5342" w:rsidP="007C2C48">
      <w:pPr>
        <w:spacing w:after="20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"/>
        <w:gridCol w:w="3285"/>
        <w:gridCol w:w="403"/>
        <w:gridCol w:w="4974"/>
      </w:tblGrid>
      <w:tr w:rsidR="000E5342" w:rsidRPr="0082066E" w14:paraId="3EFFDBE5" w14:textId="77777777" w:rsidTr="004950FA">
        <w:trPr>
          <w:trHeight w:val="521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4394D017" w14:textId="77777777" w:rsidR="000E5342" w:rsidRPr="0082066E" w:rsidRDefault="000E5342" w:rsidP="00C725D7">
            <w:pPr>
              <w:rPr>
                <w:b/>
                <w:szCs w:val="24"/>
              </w:rPr>
            </w:pPr>
            <w:r w:rsidRPr="0082066E">
              <w:rPr>
                <w:b/>
                <w:szCs w:val="24"/>
              </w:rPr>
              <w:t xml:space="preserve">Navn på studieprogram </w:t>
            </w:r>
          </w:p>
        </w:tc>
      </w:tr>
      <w:tr w:rsidR="000E5342" w:rsidRPr="0082066E" w14:paraId="358EB3EA" w14:textId="77777777" w:rsidTr="004950FA">
        <w:trPr>
          <w:trHeight w:val="521"/>
        </w:trPr>
        <w:tc>
          <w:tcPr>
            <w:tcW w:w="9062" w:type="dxa"/>
            <w:gridSpan w:val="4"/>
            <w:vAlign w:val="center"/>
          </w:tcPr>
          <w:p w14:paraId="3D3857D7" w14:textId="47A9A7D8" w:rsidR="000E5342" w:rsidRPr="0082066E" w:rsidRDefault="000E5342" w:rsidP="00C725D7">
            <w:pPr>
              <w:rPr>
                <w:bCs/>
                <w:i/>
                <w:iCs/>
                <w:szCs w:val="24"/>
              </w:rPr>
            </w:pPr>
          </w:p>
        </w:tc>
      </w:tr>
      <w:tr w:rsidR="000E5342" w:rsidRPr="00A73D7C" w14:paraId="0AAB78B8" w14:textId="77777777" w:rsidTr="004950FA">
        <w:trPr>
          <w:trHeight w:val="521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3E98E58F" w14:textId="2DB83199" w:rsidR="000E5342" w:rsidRPr="00F1069D" w:rsidRDefault="000E5342" w:rsidP="00C725D7">
            <w:pPr>
              <w:rPr>
                <w:b/>
                <w:szCs w:val="24"/>
                <w:lang w:val="nn-NO"/>
              </w:rPr>
            </w:pPr>
            <w:r w:rsidRPr="00F1069D">
              <w:rPr>
                <w:b/>
                <w:szCs w:val="24"/>
                <w:lang w:val="nn-NO"/>
              </w:rPr>
              <w:t xml:space="preserve">Grad på vitnemål </w:t>
            </w:r>
          </w:p>
        </w:tc>
      </w:tr>
      <w:tr w:rsidR="000E5342" w:rsidRPr="0082066E" w14:paraId="3B8A5A52" w14:textId="77777777" w:rsidTr="004950FA">
        <w:trPr>
          <w:trHeight w:val="544"/>
        </w:trPr>
        <w:tc>
          <w:tcPr>
            <w:tcW w:w="9062" w:type="dxa"/>
            <w:gridSpan w:val="4"/>
            <w:vAlign w:val="center"/>
          </w:tcPr>
          <w:p w14:paraId="05161759" w14:textId="02FCF975" w:rsidR="000E5342" w:rsidRPr="0082066E" w:rsidRDefault="000E5342" w:rsidP="00C725D7">
            <w:pPr>
              <w:rPr>
                <w:bCs/>
                <w:i/>
                <w:iCs/>
                <w:szCs w:val="24"/>
              </w:rPr>
            </w:pPr>
          </w:p>
        </w:tc>
      </w:tr>
      <w:tr w:rsidR="000E5342" w:rsidRPr="0082066E" w14:paraId="34D99DB6" w14:textId="77777777" w:rsidTr="004950FA">
        <w:trPr>
          <w:trHeight w:val="544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45B7BCFA" w14:textId="77777777" w:rsidR="000E5342" w:rsidRPr="0082066E" w:rsidRDefault="000E5342" w:rsidP="00C725D7">
            <w:pPr>
              <w:rPr>
                <w:b/>
                <w:szCs w:val="24"/>
              </w:rPr>
            </w:pPr>
            <w:r w:rsidRPr="0082066E">
              <w:rPr>
                <w:b/>
                <w:szCs w:val="24"/>
              </w:rPr>
              <w:t>Faglig ansvarlig for vurderingen</w:t>
            </w:r>
          </w:p>
        </w:tc>
      </w:tr>
      <w:tr w:rsidR="000E5342" w:rsidRPr="0082066E" w14:paraId="1A48B5BE" w14:textId="77777777" w:rsidTr="004950FA">
        <w:trPr>
          <w:trHeight w:val="544"/>
        </w:trPr>
        <w:tc>
          <w:tcPr>
            <w:tcW w:w="3685" w:type="dxa"/>
            <w:gridSpan w:val="2"/>
            <w:vAlign w:val="center"/>
          </w:tcPr>
          <w:p w14:paraId="1B840F42" w14:textId="77777777" w:rsidR="000E5342" w:rsidRPr="0082066E" w:rsidRDefault="000E5342" w:rsidP="00C725D7">
            <w:pPr>
              <w:spacing w:line="240" w:lineRule="auto"/>
              <w:rPr>
                <w:bCs/>
                <w:i/>
                <w:iCs/>
                <w:szCs w:val="24"/>
              </w:rPr>
            </w:pPr>
            <w:r w:rsidRPr="0082066E">
              <w:rPr>
                <w:bCs/>
                <w:i/>
                <w:iCs/>
                <w:szCs w:val="24"/>
              </w:rPr>
              <w:t>Tittel:</w:t>
            </w:r>
          </w:p>
        </w:tc>
        <w:tc>
          <w:tcPr>
            <w:tcW w:w="5377" w:type="dxa"/>
            <w:gridSpan w:val="2"/>
            <w:vAlign w:val="center"/>
          </w:tcPr>
          <w:p w14:paraId="344A1D09" w14:textId="77777777" w:rsidR="000E5342" w:rsidRPr="0082066E" w:rsidRDefault="000E5342" w:rsidP="00C725D7">
            <w:pPr>
              <w:rPr>
                <w:bCs/>
                <w:i/>
                <w:iCs/>
                <w:szCs w:val="24"/>
              </w:rPr>
            </w:pPr>
            <w:r w:rsidRPr="0082066E">
              <w:rPr>
                <w:bCs/>
                <w:i/>
                <w:iCs/>
                <w:szCs w:val="24"/>
              </w:rPr>
              <w:t>Navn:</w:t>
            </w:r>
          </w:p>
        </w:tc>
      </w:tr>
      <w:tr w:rsidR="000E5342" w:rsidRPr="0082066E" w14:paraId="7353C226" w14:textId="77777777" w:rsidTr="004950FA">
        <w:trPr>
          <w:trHeight w:val="544"/>
        </w:trPr>
        <w:tc>
          <w:tcPr>
            <w:tcW w:w="9062" w:type="dxa"/>
            <w:gridSpan w:val="4"/>
            <w:vAlign w:val="center"/>
          </w:tcPr>
          <w:p w14:paraId="7270FAD5" w14:textId="4CD37C67" w:rsidR="000E5342" w:rsidRPr="0082066E" w:rsidRDefault="004950FA" w:rsidP="00C725D7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Institutt/f</w:t>
            </w:r>
            <w:r w:rsidR="000702E4">
              <w:rPr>
                <w:bCs/>
                <w:i/>
                <w:iCs/>
                <w:szCs w:val="24"/>
              </w:rPr>
              <w:t>aglig tilhørighet</w:t>
            </w:r>
            <w:r w:rsidR="000E5342" w:rsidRPr="0082066E">
              <w:rPr>
                <w:bCs/>
                <w:i/>
                <w:iCs/>
                <w:szCs w:val="24"/>
              </w:rPr>
              <w:t xml:space="preserve">: </w:t>
            </w:r>
          </w:p>
        </w:tc>
      </w:tr>
      <w:tr w:rsidR="000E5342" w:rsidRPr="0082066E" w14:paraId="577DA344" w14:textId="77777777" w:rsidTr="004950FA">
        <w:trPr>
          <w:trHeight w:val="544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6F4C26E9" w14:textId="77777777" w:rsidR="000E5342" w:rsidRPr="0082066E" w:rsidRDefault="000E5342" w:rsidP="00C725D7">
            <w:pPr>
              <w:rPr>
                <w:b/>
                <w:szCs w:val="24"/>
              </w:rPr>
            </w:pPr>
            <w:r w:rsidRPr="0082066E">
              <w:rPr>
                <w:b/>
                <w:szCs w:val="24"/>
              </w:rPr>
              <w:t xml:space="preserve">Administrativ vurdering av sjekklisten </w:t>
            </w:r>
          </w:p>
        </w:tc>
      </w:tr>
      <w:tr w:rsidR="000E5342" w:rsidRPr="0082066E" w14:paraId="0095E417" w14:textId="77777777" w:rsidTr="004950FA">
        <w:trPr>
          <w:trHeight w:val="544"/>
        </w:trPr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09ED53D4" w14:textId="77777777" w:rsidR="000E5342" w:rsidRPr="0082066E" w:rsidRDefault="000E5342" w:rsidP="00C725D7">
            <w:pPr>
              <w:spacing w:line="240" w:lineRule="auto"/>
              <w:rPr>
                <w:bCs/>
                <w:i/>
                <w:iCs/>
                <w:szCs w:val="24"/>
              </w:rPr>
            </w:pPr>
          </w:p>
        </w:tc>
        <w:tc>
          <w:tcPr>
            <w:tcW w:w="3285" w:type="dxa"/>
            <w:vAlign w:val="center"/>
          </w:tcPr>
          <w:p w14:paraId="70B5A39C" w14:textId="77777777" w:rsidR="000E5342" w:rsidRPr="0082066E" w:rsidRDefault="000E5342" w:rsidP="00C725D7">
            <w:pPr>
              <w:spacing w:line="240" w:lineRule="auto"/>
              <w:rPr>
                <w:bCs/>
                <w:i/>
                <w:iCs/>
                <w:szCs w:val="24"/>
              </w:rPr>
            </w:pPr>
            <w:r w:rsidRPr="0082066E">
              <w:rPr>
                <w:bCs/>
                <w:i/>
                <w:iCs/>
                <w:szCs w:val="24"/>
              </w:rPr>
              <w:t xml:space="preserve">Ja, sjekklisten er godkjent </w:t>
            </w:r>
          </w:p>
        </w:tc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03528F56" w14:textId="77777777" w:rsidR="000E5342" w:rsidRPr="0082066E" w:rsidRDefault="000E5342" w:rsidP="00C725D7">
            <w:pPr>
              <w:spacing w:line="240" w:lineRule="auto"/>
              <w:rPr>
                <w:bCs/>
                <w:i/>
                <w:iCs/>
                <w:szCs w:val="24"/>
              </w:rPr>
            </w:pPr>
          </w:p>
        </w:tc>
        <w:tc>
          <w:tcPr>
            <w:tcW w:w="4974" w:type="dxa"/>
            <w:vAlign w:val="center"/>
          </w:tcPr>
          <w:p w14:paraId="11518CDE" w14:textId="77777777" w:rsidR="000E5342" w:rsidRPr="0082066E" w:rsidRDefault="000E5342" w:rsidP="00C725D7">
            <w:pPr>
              <w:spacing w:line="240" w:lineRule="auto"/>
              <w:rPr>
                <w:bCs/>
                <w:i/>
                <w:iCs/>
                <w:szCs w:val="24"/>
              </w:rPr>
            </w:pPr>
            <w:r w:rsidRPr="0082066E">
              <w:rPr>
                <w:bCs/>
                <w:i/>
                <w:iCs/>
                <w:szCs w:val="24"/>
              </w:rPr>
              <w:t>Nei, sjekklisten er ikke godkjent</w:t>
            </w:r>
          </w:p>
        </w:tc>
      </w:tr>
      <w:tr w:rsidR="000E5342" w:rsidRPr="0082066E" w14:paraId="3A23235A" w14:textId="77777777" w:rsidTr="004950FA">
        <w:trPr>
          <w:trHeight w:val="544"/>
        </w:trPr>
        <w:tc>
          <w:tcPr>
            <w:tcW w:w="3685" w:type="dxa"/>
            <w:gridSpan w:val="2"/>
            <w:vAlign w:val="center"/>
          </w:tcPr>
          <w:p w14:paraId="115BFCC2" w14:textId="77777777" w:rsidR="000E5342" w:rsidRPr="0082066E" w:rsidRDefault="000E5342" w:rsidP="00C725D7">
            <w:pPr>
              <w:spacing w:line="240" w:lineRule="auto"/>
              <w:rPr>
                <w:bCs/>
                <w:i/>
                <w:iCs/>
                <w:szCs w:val="24"/>
              </w:rPr>
            </w:pPr>
            <w:r w:rsidRPr="0082066E">
              <w:rPr>
                <w:bCs/>
                <w:i/>
                <w:iCs/>
                <w:szCs w:val="24"/>
              </w:rPr>
              <w:t xml:space="preserve">Dato: </w:t>
            </w:r>
          </w:p>
        </w:tc>
        <w:tc>
          <w:tcPr>
            <w:tcW w:w="5377" w:type="dxa"/>
            <w:gridSpan w:val="2"/>
            <w:vAlign w:val="center"/>
          </w:tcPr>
          <w:p w14:paraId="10FC4D03" w14:textId="77777777" w:rsidR="000E5342" w:rsidRPr="0082066E" w:rsidRDefault="000E5342" w:rsidP="00C725D7">
            <w:pPr>
              <w:rPr>
                <w:bCs/>
                <w:i/>
                <w:iCs/>
                <w:szCs w:val="24"/>
              </w:rPr>
            </w:pPr>
            <w:r w:rsidRPr="0082066E">
              <w:rPr>
                <w:bCs/>
                <w:i/>
                <w:iCs/>
                <w:szCs w:val="24"/>
              </w:rPr>
              <w:t xml:space="preserve">Navn: </w:t>
            </w:r>
          </w:p>
        </w:tc>
      </w:tr>
    </w:tbl>
    <w:p w14:paraId="7DD3DB66" w14:textId="77777777" w:rsidR="000E5342" w:rsidRDefault="000E5342" w:rsidP="007C2C48">
      <w:pPr>
        <w:spacing w:after="200"/>
        <w:rPr>
          <w:b/>
          <w:bCs/>
        </w:rPr>
      </w:pPr>
    </w:p>
    <w:p w14:paraId="5741A18A" w14:textId="77777777" w:rsidR="00230D92" w:rsidRDefault="00230D92" w:rsidP="007C2C48">
      <w:pPr>
        <w:spacing w:after="200"/>
        <w:rPr>
          <w:b/>
          <w:bCs/>
        </w:rPr>
      </w:pPr>
    </w:p>
    <w:p w14:paraId="592DAE86" w14:textId="77777777" w:rsidR="00230D92" w:rsidRDefault="00230D92" w:rsidP="007C2C48">
      <w:pPr>
        <w:spacing w:after="200"/>
        <w:rPr>
          <w:b/>
          <w:bCs/>
          <w:szCs w:val="24"/>
          <w:highlight w:val="yellow"/>
        </w:rPr>
      </w:pPr>
    </w:p>
    <w:p w14:paraId="0CD4A776" w14:textId="13AC6F12" w:rsidR="007C2C48" w:rsidRPr="000E5342" w:rsidRDefault="007C2C48" w:rsidP="007C2C48">
      <w:pPr>
        <w:spacing w:after="200"/>
        <w:rPr>
          <w:b/>
          <w:bCs/>
          <w:sz w:val="28"/>
          <w:szCs w:val="24"/>
        </w:rPr>
      </w:pPr>
      <w:r w:rsidRPr="000E5342">
        <w:rPr>
          <w:b/>
          <w:bCs/>
          <w:sz w:val="28"/>
          <w:szCs w:val="24"/>
        </w:rPr>
        <w:t>Dokumenter som skal følge med sjekklisten:</w:t>
      </w:r>
    </w:p>
    <w:p w14:paraId="55290CAB" w14:textId="5A5E0DF8" w:rsidR="007C2C48" w:rsidRPr="00A73D7C" w:rsidRDefault="007C2C48" w:rsidP="007C2C48">
      <w:pPr>
        <w:pStyle w:val="ListParagraph"/>
        <w:numPr>
          <w:ilvl w:val="0"/>
          <w:numId w:val="2"/>
        </w:numPr>
        <w:shd w:val="clear" w:color="auto" w:fill="FFFFFF" w:themeFill="background1"/>
        <w:spacing w:after="200" w:line="240" w:lineRule="auto"/>
        <w:rPr>
          <w:sz w:val="22"/>
          <w:szCs w:val="20"/>
        </w:rPr>
      </w:pPr>
      <w:r w:rsidRPr="00A73D7C">
        <w:rPr>
          <w:sz w:val="22"/>
          <w:szCs w:val="20"/>
        </w:rPr>
        <w:t xml:space="preserve">Studieplan iht </w:t>
      </w:r>
      <w:r w:rsidR="00B35BA9" w:rsidRPr="00A73D7C">
        <w:rPr>
          <w:sz w:val="22"/>
          <w:szCs w:val="20"/>
        </w:rPr>
        <w:t>NHH-</w:t>
      </w:r>
      <w:r w:rsidRPr="00A73D7C">
        <w:rPr>
          <w:sz w:val="22"/>
          <w:szCs w:val="20"/>
        </w:rPr>
        <w:t>mal</w:t>
      </w:r>
    </w:p>
    <w:p w14:paraId="22D7DBCE" w14:textId="721ED9D9" w:rsidR="007C2C48" w:rsidRPr="00D647CF" w:rsidRDefault="00726B56" w:rsidP="007C2C48">
      <w:pPr>
        <w:pStyle w:val="ListParagraph"/>
        <w:numPr>
          <w:ilvl w:val="0"/>
          <w:numId w:val="2"/>
        </w:numPr>
        <w:shd w:val="clear" w:color="auto" w:fill="FFFFFF" w:themeFill="background1"/>
        <w:spacing w:after="200" w:line="240" w:lineRule="auto"/>
        <w:rPr>
          <w:sz w:val="22"/>
          <w:szCs w:val="20"/>
          <w:lang w:val="nn-NO"/>
        </w:rPr>
      </w:pPr>
      <w:r w:rsidRPr="00D647CF">
        <w:rPr>
          <w:sz w:val="22"/>
          <w:szCs w:val="20"/>
          <w:lang w:val="nn-NO"/>
        </w:rPr>
        <w:t xml:space="preserve">Tabell 1. </w:t>
      </w:r>
      <w:r w:rsidR="007C2C48" w:rsidRPr="00D647CF">
        <w:rPr>
          <w:sz w:val="22"/>
          <w:szCs w:val="20"/>
          <w:lang w:val="nn-NO"/>
        </w:rPr>
        <w:t>Oversikt over</w:t>
      </w:r>
      <w:r w:rsidR="00B35BA9" w:rsidRPr="00D647CF">
        <w:rPr>
          <w:sz w:val="22"/>
          <w:szCs w:val="20"/>
          <w:lang w:val="nn-NO"/>
        </w:rPr>
        <w:t xml:space="preserve"> </w:t>
      </w:r>
      <w:proofErr w:type="spellStart"/>
      <w:r w:rsidR="007C2C48" w:rsidRPr="00D647CF">
        <w:rPr>
          <w:sz w:val="22"/>
          <w:szCs w:val="20"/>
          <w:lang w:val="nn-NO"/>
        </w:rPr>
        <w:t>emner</w:t>
      </w:r>
      <w:proofErr w:type="spellEnd"/>
      <w:r w:rsidR="00B35BA9" w:rsidRPr="00D647CF">
        <w:rPr>
          <w:sz w:val="22"/>
          <w:szCs w:val="20"/>
          <w:lang w:val="nn-NO"/>
        </w:rPr>
        <w:t xml:space="preserve">; </w:t>
      </w:r>
      <w:r w:rsidR="007C2C48" w:rsidRPr="00D647CF">
        <w:rPr>
          <w:sz w:val="22"/>
          <w:szCs w:val="20"/>
          <w:lang w:val="nn-NO"/>
        </w:rPr>
        <w:t xml:space="preserve">obligatoriske og </w:t>
      </w:r>
      <w:proofErr w:type="spellStart"/>
      <w:r w:rsidR="007C2C48" w:rsidRPr="00D647CF">
        <w:rPr>
          <w:sz w:val="22"/>
          <w:szCs w:val="20"/>
          <w:lang w:val="nn-NO"/>
        </w:rPr>
        <w:t>valgfrie</w:t>
      </w:r>
      <w:proofErr w:type="spellEnd"/>
      <w:r w:rsidR="007C2C48" w:rsidRPr="00D647CF">
        <w:rPr>
          <w:sz w:val="22"/>
          <w:szCs w:val="20"/>
          <w:lang w:val="nn-NO"/>
        </w:rPr>
        <w:t xml:space="preserve"> </w:t>
      </w:r>
    </w:p>
    <w:p w14:paraId="489607D0" w14:textId="74EF7E16" w:rsidR="00B35BA9" w:rsidRPr="00D647CF" w:rsidRDefault="00726B56" w:rsidP="007C2C48">
      <w:pPr>
        <w:pStyle w:val="ListParagraph"/>
        <w:numPr>
          <w:ilvl w:val="0"/>
          <w:numId w:val="2"/>
        </w:numPr>
        <w:shd w:val="clear" w:color="auto" w:fill="FFFFFF" w:themeFill="background1"/>
        <w:spacing w:after="200" w:line="240" w:lineRule="auto"/>
        <w:rPr>
          <w:sz w:val="22"/>
          <w:szCs w:val="20"/>
          <w:lang w:val="nn-NO"/>
        </w:rPr>
      </w:pPr>
      <w:r w:rsidRPr="00D647CF">
        <w:rPr>
          <w:sz w:val="22"/>
          <w:szCs w:val="20"/>
          <w:lang w:val="nn-NO"/>
        </w:rPr>
        <w:t xml:space="preserve">Tabell 2. </w:t>
      </w:r>
      <w:r w:rsidR="00B35BA9" w:rsidRPr="00D647CF">
        <w:rPr>
          <w:sz w:val="22"/>
          <w:szCs w:val="20"/>
          <w:lang w:val="nn-NO"/>
        </w:rPr>
        <w:t xml:space="preserve">Oversikt over </w:t>
      </w:r>
      <w:proofErr w:type="spellStart"/>
      <w:r w:rsidR="00B35BA9" w:rsidRPr="00D647CF">
        <w:rPr>
          <w:sz w:val="22"/>
          <w:szCs w:val="20"/>
          <w:lang w:val="nn-NO"/>
        </w:rPr>
        <w:t>kobling</w:t>
      </w:r>
      <w:proofErr w:type="spellEnd"/>
      <w:r w:rsidR="00B35BA9" w:rsidRPr="00D647CF">
        <w:rPr>
          <w:sz w:val="22"/>
          <w:szCs w:val="20"/>
          <w:lang w:val="nn-NO"/>
        </w:rPr>
        <w:t xml:space="preserve"> mellom obligatoriske </w:t>
      </w:r>
      <w:proofErr w:type="spellStart"/>
      <w:r w:rsidR="00B35BA9" w:rsidRPr="00D647CF">
        <w:rPr>
          <w:sz w:val="22"/>
          <w:szCs w:val="20"/>
          <w:lang w:val="nn-NO"/>
        </w:rPr>
        <w:t>emner</w:t>
      </w:r>
      <w:proofErr w:type="spellEnd"/>
      <w:r w:rsidR="00B35BA9" w:rsidRPr="00D647CF">
        <w:rPr>
          <w:sz w:val="22"/>
          <w:szCs w:val="20"/>
          <w:lang w:val="nn-NO"/>
        </w:rPr>
        <w:t xml:space="preserve"> og læringsutbyttene</w:t>
      </w:r>
      <w:r w:rsidRPr="00D647CF">
        <w:rPr>
          <w:sz w:val="22"/>
          <w:szCs w:val="20"/>
          <w:lang w:val="nn-NO"/>
        </w:rPr>
        <w:t xml:space="preserve"> (mapping)</w:t>
      </w:r>
      <w:r w:rsidR="00B35BA9" w:rsidRPr="00D647CF">
        <w:rPr>
          <w:sz w:val="22"/>
          <w:szCs w:val="20"/>
          <w:lang w:val="nn-NO"/>
        </w:rPr>
        <w:t xml:space="preserve"> </w:t>
      </w:r>
    </w:p>
    <w:p w14:paraId="57DFE60F" w14:textId="278A7CB0" w:rsidR="00726B56" w:rsidRPr="00A73D7C" w:rsidRDefault="00726B56" w:rsidP="007C2C48">
      <w:pPr>
        <w:pStyle w:val="ListParagraph"/>
        <w:numPr>
          <w:ilvl w:val="0"/>
          <w:numId w:val="2"/>
        </w:numPr>
        <w:shd w:val="clear" w:color="auto" w:fill="FFFFFF" w:themeFill="background1"/>
        <w:spacing w:after="200" w:line="240" w:lineRule="auto"/>
      </w:pPr>
      <w:r w:rsidRPr="00A73D7C">
        <w:rPr>
          <w:sz w:val="22"/>
          <w:szCs w:val="20"/>
        </w:rPr>
        <w:t>Tabell 3. Oversikt over fagmiljøet</w:t>
      </w:r>
    </w:p>
    <w:p w14:paraId="14406C7F" w14:textId="77777777" w:rsidR="007C2C48" w:rsidRPr="000E5342" w:rsidRDefault="007C2C48" w:rsidP="007C2C48">
      <w:pPr>
        <w:spacing w:after="200"/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2139C7" w14:paraId="4F830E80" w14:textId="77777777" w:rsidTr="000573B3">
        <w:tc>
          <w:tcPr>
            <w:tcW w:w="2830" w:type="dxa"/>
            <w:vAlign w:val="center"/>
          </w:tcPr>
          <w:p w14:paraId="49149A04" w14:textId="3C1E6540" w:rsidR="002139C7" w:rsidRPr="00C14A82" w:rsidRDefault="002139C7" w:rsidP="000573B3">
            <w:pPr>
              <w:spacing w:after="160" w:line="259" w:lineRule="auto"/>
              <w:rPr>
                <w:sz w:val="18"/>
                <w:szCs w:val="16"/>
              </w:rPr>
            </w:pPr>
            <w:r w:rsidRPr="00C14A82">
              <w:rPr>
                <w:sz w:val="18"/>
                <w:szCs w:val="16"/>
              </w:rPr>
              <w:t xml:space="preserve">Sjekklisten </w:t>
            </w:r>
            <w:r w:rsidR="009F7F09">
              <w:rPr>
                <w:sz w:val="18"/>
                <w:szCs w:val="16"/>
              </w:rPr>
              <w:t>ble</w:t>
            </w:r>
            <w:r w:rsidRPr="00C14A82">
              <w:rPr>
                <w:sz w:val="18"/>
                <w:szCs w:val="16"/>
              </w:rPr>
              <w:t xml:space="preserve"> sist revidert av SUK</w:t>
            </w:r>
          </w:p>
        </w:tc>
        <w:tc>
          <w:tcPr>
            <w:tcW w:w="6232" w:type="dxa"/>
            <w:vAlign w:val="center"/>
          </w:tcPr>
          <w:p w14:paraId="6C13D298" w14:textId="77777777" w:rsidR="002139C7" w:rsidRPr="00C14A82" w:rsidRDefault="002139C7" w:rsidP="000573B3">
            <w:pPr>
              <w:spacing w:after="160" w:line="259" w:lineRule="auto"/>
              <w:rPr>
                <w:sz w:val="18"/>
                <w:szCs w:val="16"/>
              </w:rPr>
            </w:pPr>
            <w:r w:rsidRPr="00C14A82">
              <w:rPr>
                <w:sz w:val="18"/>
                <w:szCs w:val="16"/>
              </w:rPr>
              <w:t>16.12.2025</w:t>
            </w:r>
          </w:p>
        </w:tc>
      </w:tr>
    </w:tbl>
    <w:p w14:paraId="3C45C9CC" w14:textId="56BE617D" w:rsidR="00D13234" w:rsidRPr="0036681E" w:rsidRDefault="00D13234">
      <w:pPr>
        <w:spacing w:after="160" w:line="259" w:lineRule="auto"/>
      </w:pPr>
      <w:r>
        <w:br w:type="page"/>
      </w:r>
    </w:p>
    <w:p w14:paraId="05F0FC85" w14:textId="3587F81A" w:rsidR="007C2C48" w:rsidRPr="007C2C48" w:rsidRDefault="007C2C48" w:rsidP="007C2C48">
      <w:pPr>
        <w:pStyle w:val="Style1"/>
      </w:pPr>
      <w:r w:rsidRPr="007C2C48">
        <w:lastRenderedPageBreak/>
        <w:t>FORSKRIFT TIL UNIVERSITETS - OG HØYSKOLELOVEN</w:t>
      </w:r>
    </w:p>
    <w:p w14:paraId="09142B8C" w14:textId="77777777" w:rsidR="007C2C48" w:rsidRPr="007C2C48" w:rsidRDefault="007C2C48" w:rsidP="007C2C48">
      <w:pPr>
        <w:pStyle w:val="Style1"/>
      </w:pPr>
      <w:r w:rsidRPr="007C2C48">
        <w:br/>
        <w:t>§ 1-11. Krav til studietilbudet</w:t>
      </w:r>
    </w:p>
    <w:p w14:paraId="65D75A4C" w14:textId="77777777" w:rsidR="007C2C48" w:rsidRPr="007C2C48" w:rsidRDefault="007C2C48" w:rsidP="007C2C48">
      <w:pPr>
        <w:rPr>
          <w:sz w:val="28"/>
          <w:szCs w:val="28"/>
        </w:rPr>
      </w:pPr>
    </w:p>
    <w:p w14:paraId="11AFF78B" w14:textId="77777777" w:rsidR="007C2C48" w:rsidRPr="00132DEE" w:rsidRDefault="007C2C48" w:rsidP="007C2C48">
      <w:pPr>
        <w:pStyle w:val="Style2"/>
        <w:rPr>
          <w:color w:val="156082" w:themeColor="accent1"/>
          <w:sz w:val="24"/>
          <w:szCs w:val="24"/>
        </w:rPr>
      </w:pPr>
      <w:r w:rsidRPr="00132DEE">
        <w:rPr>
          <w:color w:val="156082" w:themeColor="accent1"/>
        </w:rPr>
        <w:t>Studietilbudet skal være definert og avgrenset, ha tilstrekkelig bredde og et dekkende navn.</w:t>
      </w:r>
      <w:r w:rsidRPr="00132DEE">
        <w:rPr>
          <w:color w:val="156082" w:themeColor="accent1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7C2C48" w14:paraId="0841215D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26B8527C" w14:textId="429FF739" w:rsidR="007C2C48" w:rsidRPr="00D647CF" w:rsidRDefault="007C2C48" w:rsidP="00D647CF">
            <w:pPr>
              <w:rPr>
                <w:b/>
              </w:rPr>
            </w:pPr>
            <w:r w:rsidRPr="00D647CF">
              <w:rPr>
                <w:b/>
                <w:sz w:val="22"/>
                <w:szCs w:val="20"/>
              </w:rPr>
              <w:t>Redegjør for hvordan studietilbudet er definert og avgrenset, og har tilstrekkelig bredde.</w:t>
            </w:r>
          </w:p>
        </w:tc>
      </w:tr>
      <w:tr w:rsidR="007C2C48" w:rsidRPr="007C2C48" w14:paraId="1608EC70" w14:textId="77777777" w:rsidTr="00A95BA0">
        <w:tc>
          <w:tcPr>
            <w:tcW w:w="9832" w:type="dxa"/>
          </w:tcPr>
          <w:p w14:paraId="45A996BF" w14:textId="77777777" w:rsidR="007C2C48" w:rsidRPr="007C2C48" w:rsidRDefault="007C2C48" w:rsidP="00A95BA0"/>
        </w:tc>
      </w:tr>
      <w:tr w:rsidR="007C2C48" w:rsidRPr="007C2C48" w14:paraId="500EEB28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6F63505D" w14:textId="3B1EA491" w:rsidR="007C2C48" w:rsidRPr="00D647CF" w:rsidRDefault="007C2C48" w:rsidP="00D647CF">
            <w:pPr>
              <w:rPr>
                <w:b/>
                <w:sz w:val="22"/>
                <w:szCs w:val="20"/>
              </w:rPr>
            </w:pPr>
            <w:r w:rsidRPr="00D647CF">
              <w:rPr>
                <w:b/>
                <w:sz w:val="22"/>
                <w:szCs w:val="20"/>
              </w:rPr>
              <w:t>Begrunn hvordan studiets navn er dekkende for studiets innhold og nivå.</w:t>
            </w:r>
          </w:p>
        </w:tc>
      </w:tr>
      <w:tr w:rsidR="007C2C48" w:rsidRPr="007C2C48" w14:paraId="72E835C8" w14:textId="77777777" w:rsidTr="00A95BA0">
        <w:tc>
          <w:tcPr>
            <w:tcW w:w="9832" w:type="dxa"/>
          </w:tcPr>
          <w:p w14:paraId="6760429C" w14:textId="77777777" w:rsidR="007C2C48" w:rsidRPr="007C2C48" w:rsidRDefault="007C2C48" w:rsidP="00A95BA0">
            <w:pPr>
              <w:rPr>
                <w:szCs w:val="24"/>
              </w:rPr>
            </w:pPr>
          </w:p>
        </w:tc>
      </w:tr>
    </w:tbl>
    <w:p w14:paraId="51643510" w14:textId="77777777" w:rsidR="007C2C48" w:rsidRDefault="007C2C48" w:rsidP="007C2C48">
      <w:pPr>
        <w:ind w:left="720"/>
      </w:pPr>
    </w:p>
    <w:p w14:paraId="5177A6EF" w14:textId="77777777" w:rsidR="0069404C" w:rsidRDefault="0069404C" w:rsidP="007C2C48">
      <w:pPr>
        <w:ind w:left="720"/>
      </w:pPr>
    </w:p>
    <w:p w14:paraId="5B61657F" w14:textId="77777777" w:rsidR="0069404C" w:rsidRDefault="0069404C" w:rsidP="007C2C48">
      <w:pPr>
        <w:ind w:left="720"/>
      </w:pPr>
    </w:p>
    <w:p w14:paraId="21C9CD7B" w14:textId="77777777" w:rsidR="007C2C48" w:rsidRPr="00132DEE" w:rsidRDefault="007C2C48" w:rsidP="007C2C48">
      <w:pPr>
        <w:pStyle w:val="Style2"/>
        <w:rPr>
          <w:color w:val="156082" w:themeColor="accent1"/>
        </w:rPr>
      </w:pPr>
      <w:r w:rsidRPr="00132DEE">
        <w:rPr>
          <w:color w:val="156082" w:themeColor="accent1"/>
        </w:rPr>
        <w:t>Studietilbudet skal være faglig oppdatert og ha tydelig relevans for videre studier eller arbeidsliv.</w:t>
      </w:r>
      <w:r w:rsidRPr="00132DEE">
        <w:rPr>
          <w:color w:val="156082" w:themeColor="accent1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7C2C48" w14:paraId="0B0587E6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55DC99CF" w14:textId="6C5BD719" w:rsidR="007C2C48" w:rsidRPr="00974EB8" w:rsidRDefault="00974EB8" w:rsidP="00974EB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Redegjør for </w:t>
            </w:r>
            <w:r w:rsidR="00117671">
              <w:rPr>
                <w:b/>
                <w:sz w:val="22"/>
              </w:rPr>
              <w:t xml:space="preserve">hvordan man </w:t>
            </w:r>
            <w:r w:rsidR="00587C09">
              <w:rPr>
                <w:b/>
                <w:sz w:val="22"/>
              </w:rPr>
              <w:t>sikrer</w:t>
            </w:r>
            <w:r w:rsidR="00117671">
              <w:rPr>
                <w:b/>
                <w:sz w:val="22"/>
              </w:rPr>
              <w:t xml:space="preserve"> at studietilbudet er faglig oppdatert</w:t>
            </w:r>
          </w:p>
        </w:tc>
      </w:tr>
      <w:tr w:rsidR="007C2C48" w:rsidRPr="007C2C48" w14:paraId="7021A7C0" w14:textId="77777777" w:rsidTr="00A95BA0">
        <w:tc>
          <w:tcPr>
            <w:tcW w:w="9832" w:type="dxa"/>
          </w:tcPr>
          <w:p w14:paraId="6E3B3308" w14:textId="77777777" w:rsidR="007C2C48" w:rsidRPr="00B35BA9" w:rsidRDefault="007C2C48" w:rsidP="00A95BA0">
            <w:pPr>
              <w:rPr>
                <w:sz w:val="22"/>
              </w:rPr>
            </w:pPr>
          </w:p>
        </w:tc>
      </w:tr>
      <w:tr w:rsidR="007C2C48" w:rsidRPr="007C2C48" w14:paraId="243CC177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562D55AD" w14:textId="7DADE9A6" w:rsidR="007C2C48" w:rsidRPr="00117671" w:rsidRDefault="007C2C48" w:rsidP="00117671">
            <w:pPr>
              <w:rPr>
                <w:b/>
                <w:bCs/>
                <w:sz w:val="22"/>
              </w:rPr>
            </w:pPr>
            <w:r w:rsidRPr="00117671">
              <w:rPr>
                <w:b/>
                <w:bCs/>
                <w:sz w:val="22"/>
              </w:rPr>
              <w:t>Angi mulige videre studier.</w:t>
            </w:r>
          </w:p>
        </w:tc>
      </w:tr>
      <w:tr w:rsidR="007C2C48" w:rsidRPr="007C2C48" w14:paraId="4C2F7073" w14:textId="77777777" w:rsidTr="00A95BA0">
        <w:tc>
          <w:tcPr>
            <w:tcW w:w="9832" w:type="dxa"/>
          </w:tcPr>
          <w:p w14:paraId="49D6B01F" w14:textId="77777777" w:rsidR="007C2C48" w:rsidRPr="00B35BA9" w:rsidRDefault="007C2C48" w:rsidP="00A95BA0">
            <w:pPr>
              <w:rPr>
                <w:sz w:val="22"/>
              </w:rPr>
            </w:pPr>
          </w:p>
        </w:tc>
      </w:tr>
      <w:tr w:rsidR="007C2C48" w:rsidRPr="007C2C48" w14:paraId="53726C52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52F9C7CA" w14:textId="6501720F" w:rsidR="007C2C48" w:rsidRPr="00117671" w:rsidRDefault="007C2C48" w:rsidP="00117671">
            <w:pPr>
              <w:rPr>
                <w:sz w:val="22"/>
              </w:rPr>
            </w:pPr>
            <w:r w:rsidRPr="00117671">
              <w:rPr>
                <w:b/>
                <w:sz w:val="22"/>
              </w:rPr>
              <w:t xml:space="preserve">Fins det </w:t>
            </w:r>
            <w:r w:rsidR="00587C09">
              <w:rPr>
                <w:b/>
                <w:sz w:val="22"/>
              </w:rPr>
              <w:t xml:space="preserve">fortsatt </w:t>
            </w:r>
            <w:r w:rsidRPr="00117671">
              <w:rPr>
                <w:b/>
                <w:sz w:val="22"/>
              </w:rPr>
              <w:t xml:space="preserve">behov for den type kompetanse i samfunns- og arbeidsliv? </w:t>
            </w:r>
            <w:r w:rsidRPr="00117671">
              <w:rPr>
                <w:b/>
                <w:sz w:val="22"/>
              </w:rPr>
              <w:br/>
            </w:r>
            <w:r w:rsidRPr="00117671">
              <w:rPr>
                <w:bCs/>
                <w:sz w:val="20"/>
                <w:szCs w:val="20"/>
              </w:rPr>
              <w:t>Gi eksempler på mulige yrker</w:t>
            </w:r>
            <w:r w:rsidRPr="0011767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C2C48" w:rsidRPr="007C2C48" w14:paraId="40509D91" w14:textId="77777777" w:rsidTr="00A95BA0">
        <w:tc>
          <w:tcPr>
            <w:tcW w:w="9832" w:type="dxa"/>
          </w:tcPr>
          <w:p w14:paraId="67B25AC1" w14:textId="77777777" w:rsidR="007C2C48" w:rsidRPr="00B35BA9" w:rsidRDefault="007C2C48" w:rsidP="00A95BA0">
            <w:pPr>
              <w:rPr>
                <w:b/>
                <w:sz w:val="22"/>
              </w:rPr>
            </w:pPr>
          </w:p>
        </w:tc>
      </w:tr>
      <w:tr w:rsidR="007C2C48" w:rsidRPr="007C2C48" w14:paraId="3EB18491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6FB99C63" w14:textId="11B3FFAA" w:rsidR="007C2C48" w:rsidRPr="00117671" w:rsidRDefault="00587C09" w:rsidP="0011767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Er rekrutteringen til studietilbudet tilfredsstillende?</w:t>
            </w:r>
          </w:p>
        </w:tc>
      </w:tr>
      <w:tr w:rsidR="007C2C48" w:rsidRPr="007C2C48" w14:paraId="5A329C02" w14:textId="77777777" w:rsidTr="00A95BA0">
        <w:tc>
          <w:tcPr>
            <w:tcW w:w="9832" w:type="dxa"/>
          </w:tcPr>
          <w:p w14:paraId="3B37793B" w14:textId="77777777" w:rsidR="007C2C48" w:rsidRPr="007C2C48" w:rsidRDefault="007C2C48" w:rsidP="00A95BA0">
            <w:pPr>
              <w:rPr>
                <w:szCs w:val="24"/>
              </w:rPr>
            </w:pPr>
          </w:p>
        </w:tc>
      </w:tr>
    </w:tbl>
    <w:p w14:paraId="6297CED1" w14:textId="1DE46910" w:rsidR="007739F5" w:rsidRDefault="007739F5" w:rsidP="007C2C48"/>
    <w:p w14:paraId="70B87E24" w14:textId="3DC1F319" w:rsidR="00117671" w:rsidRPr="0069404C" w:rsidRDefault="00117671" w:rsidP="00117671">
      <w:pPr>
        <w:spacing w:after="160" w:line="259" w:lineRule="auto"/>
        <w:rPr>
          <w:i/>
          <w:iCs/>
        </w:rPr>
      </w:pPr>
    </w:p>
    <w:p w14:paraId="74E61CD0" w14:textId="77777777" w:rsidR="007C2C48" w:rsidRPr="0069404C" w:rsidRDefault="007C2C48" w:rsidP="007C2C48"/>
    <w:p w14:paraId="3AEC3F30" w14:textId="77777777" w:rsidR="007C2C48" w:rsidRPr="00132DEE" w:rsidRDefault="007C2C48" w:rsidP="007C2C48">
      <w:pPr>
        <w:pStyle w:val="Style2"/>
        <w:rPr>
          <w:color w:val="156082" w:themeColor="accent1"/>
          <w:sz w:val="18"/>
          <w:szCs w:val="18"/>
        </w:rPr>
      </w:pPr>
      <w:r w:rsidRPr="00132DEE">
        <w:rPr>
          <w:color w:val="156082" w:themeColor="accent1"/>
        </w:rPr>
        <w:t xml:space="preserve">Læringsutbyttet skal være i samsvar med Nasjonalt kvalifikasjonsrammeverk (NKR) for livslang læring for det aktuelle nivået. </w:t>
      </w:r>
      <w:r w:rsidRPr="00132DEE">
        <w:rPr>
          <w:color w:val="156082" w:themeColor="accent1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7C2C48" w14:paraId="1B385D80" w14:textId="77777777" w:rsidTr="004D32E0">
        <w:tc>
          <w:tcPr>
            <w:tcW w:w="9062" w:type="dxa"/>
            <w:shd w:val="clear" w:color="auto" w:fill="D9D9D9" w:themeFill="background1" w:themeFillShade="D9"/>
          </w:tcPr>
          <w:p w14:paraId="1440F65F" w14:textId="24CD739B" w:rsidR="007C2C48" w:rsidRPr="004D32E0" w:rsidRDefault="007C2C48" w:rsidP="004D32E0">
            <w:pPr>
              <w:rPr>
                <w:b/>
              </w:rPr>
            </w:pPr>
            <w:r w:rsidRPr="004D32E0">
              <w:rPr>
                <w:b/>
                <w:sz w:val="22"/>
                <w:szCs w:val="20"/>
              </w:rPr>
              <w:t>Redegjør for hvordan læringsutbyttet samsvarer med nasjonalt kvalifikasjonsrammeverk.</w:t>
            </w:r>
          </w:p>
        </w:tc>
      </w:tr>
      <w:tr w:rsidR="007C2C48" w:rsidRPr="007C2C48" w14:paraId="125030E4" w14:textId="77777777" w:rsidTr="004D32E0">
        <w:tc>
          <w:tcPr>
            <w:tcW w:w="9062" w:type="dxa"/>
          </w:tcPr>
          <w:p w14:paraId="0DD68A89" w14:textId="77777777" w:rsidR="007C2C48" w:rsidRDefault="007C2C48" w:rsidP="00A95BA0">
            <w:pPr>
              <w:rPr>
                <w:color w:val="0070C0"/>
              </w:rPr>
            </w:pPr>
          </w:p>
          <w:p w14:paraId="5C67B9CF" w14:textId="77777777" w:rsidR="00D647CF" w:rsidRPr="007C2C48" w:rsidRDefault="00D647CF" w:rsidP="00A95BA0">
            <w:pPr>
              <w:rPr>
                <w:color w:val="0070C0"/>
              </w:rPr>
            </w:pPr>
          </w:p>
        </w:tc>
      </w:tr>
    </w:tbl>
    <w:p w14:paraId="0B845472" w14:textId="6B650AA3" w:rsidR="00C46BC9" w:rsidRPr="007C2C48" w:rsidRDefault="00C46BC9" w:rsidP="007C2C48">
      <w:pPr>
        <w:pStyle w:val="Style1"/>
        <w:rPr>
          <w:sz w:val="24"/>
          <w:szCs w:val="24"/>
        </w:rPr>
      </w:pPr>
    </w:p>
    <w:p w14:paraId="0C58CC1C" w14:textId="77777777" w:rsidR="006C1299" w:rsidRDefault="006C1299" w:rsidP="007C2C48">
      <w:pPr>
        <w:pStyle w:val="Style1"/>
        <w:rPr>
          <w:sz w:val="24"/>
          <w:szCs w:val="24"/>
        </w:rPr>
      </w:pPr>
    </w:p>
    <w:p w14:paraId="4D7DB3B8" w14:textId="77777777" w:rsidR="00D62270" w:rsidRDefault="00D62270" w:rsidP="007C2C48">
      <w:pPr>
        <w:pStyle w:val="Style1"/>
        <w:rPr>
          <w:sz w:val="24"/>
          <w:szCs w:val="24"/>
        </w:rPr>
      </w:pPr>
    </w:p>
    <w:p w14:paraId="2E48E91F" w14:textId="77777777" w:rsidR="00D62270" w:rsidRDefault="00D62270" w:rsidP="007C2C48">
      <w:pPr>
        <w:pStyle w:val="Style1"/>
        <w:rPr>
          <w:sz w:val="24"/>
          <w:szCs w:val="24"/>
        </w:rPr>
      </w:pPr>
    </w:p>
    <w:p w14:paraId="0A8CD680" w14:textId="77777777" w:rsidR="00D62270" w:rsidRPr="007C2C48" w:rsidRDefault="00D62270" w:rsidP="007C2C48">
      <w:pPr>
        <w:pStyle w:val="Style1"/>
        <w:rPr>
          <w:sz w:val="24"/>
          <w:szCs w:val="24"/>
        </w:rPr>
      </w:pPr>
    </w:p>
    <w:p w14:paraId="6463187D" w14:textId="77777777" w:rsidR="007C2C48" w:rsidRPr="00132DEE" w:rsidRDefault="007C2C48" w:rsidP="007C2C48">
      <w:pPr>
        <w:pStyle w:val="Style2"/>
        <w:rPr>
          <w:color w:val="156082" w:themeColor="accent1"/>
        </w:rPr>
      </w:pPr>
      <w:r w:rsidRPr="00132DEE">
        <w:rPr>
          <w:color w:val="156082" w:themeColor="accent1"/>
        </w:rPr>
        <w:t>Studietilbudets innhold, oppbygging og progresjon skal være tilpasset læringsutbyttet.</w:t>
      </w:r>
    </w:p>
    <w:p w14:paraId="48AF5019" w14:textId="77777777" w:rsidR="007C2C48" w:rsidRPr="007C2C48" w:rsidRDefault="007C2C48" w:rsidP="007C2C48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7C2C48" w14:paraId="14B42BF9" w14:textId="77777777" w:rsidTr="00132DEE">
        <w:tc>
          <w:tcPr>
            <w:tcW w:w="9062" w:type="dxa"/>
            <w:shd w:val="clear" w:color="auto" w:fill="D9D9D9" w:themeFill="background1" w:themeFillShade="D9"/>
          </w:tcPr>
          <w:p w14:paraId="08A09D03" w14:textId="60822BA5" w:rsidR="007C2C48" w:rsidRPr="00AE63CF" w:rsidRDefault="007C2C48" w:rsidP="00AE63CF">
            <w:pPr>
              <w:rPr>
                <w:b/>
              </w:rPr>
            </w:pPr>
            <w:r w:rsidRPr="00AE63CF">
              <w:rPr>
                <w:b/>
                <w:sz w:val="22"/>
                <w:szCs w:val="20"/>
              </w:rPr>
              <w:t>Legg ved en oversikt over alle emner, og angi hvilke som er obligatoriske og valgfrie</w:t>
            </w:r>
            <w:r w:rsidR="00B35BA9" w:rsidRPr="00AE63CF">
              <w:rPr>
                <w:b/>
                <w:sz w:val="22"/>
                <w:szCs w:val="20"/>
              </w:rPr>
              <w:t>.</w:t>
            </w:r>
            <w:r w:rsidRPr="00AE63CF">
              <w:rPr>
                <w:b/>
                <w:sz w:val="22"/>
                <w:szCs w:val="20"/>
              </w:rPr>
              <w:t xml:space="preserve"> </w:t>
            </w:r>
            <w:r w:rsidRPr="00AE63CF">
              <w:rPr>
                <w:bCs/>
                <w:sz w:val="22"/>
                <w:szCs w:val="20"/>
              </w:rPr>
              <w:t>Bruk vedlagte mal</w:t>
            </w:r>
            <w:r w:rsidR="00132DEE" w:rsidRPr="00AE63CF">
              <w:rPr>
                <w:bCs/>
                <w:sz w:val="22"/>
                <w:szCs w:val="20"/>
              </w:rPr>
              <w:t xml:space="preserve"> (Tabell 1)</w:t>
            </w:r>
          </w:p>
        </w:tc>
      </w:tr>
      <w:tr w:rsidR="007C2C48" w:rsidRPr="007C2C48" w14:paraId="436717F8" w14:textId="77777777" w:rsidTr="00132DEE">
        <w:tc>
          <w:tcPr>
            <w:tcW w:w="9062" w:type="dxa"/>
            <w:shd w:val="clear" w:color="auto" w:fill="FFFFFF" w:themeFill="background1"/>
          </w:tcPr>
          <w:p w14:paraId="5F07A58E" w14:textId="4DDD5752" w:rsidR="007C2C48" w:rsidRPr="007C2C48" w:rsidRDefault="007C2C48" w:rsidP="00A95BA0">
            <w:pPr>
              <w:rPr>
                <w:bCs/>
                <w:i/>
                <w:iCs/>
              </w:rPr>
            </w:pPr>
            <w:r w:rsidRPr="007C2C48">
              <w:rPr>
                <w:bCs/>
                <w:i/>
                <w:iCs/>
              </w:rPr>
              <w:t>Eventuelle kommentarer:</w:t>
            </w:r>
            <w:r w:rsidR="00132DEE">
              <w:rPr>
                <w:bCs/>
                <w:i/>
                <w:iCs/>
              </w:rPr>
              <w:br/>
            </w:r>
            <w:r w:rsidRPr="007C2C48">
              <w:rPr>
                <w:bCs/>
                <w:i/>
                <w:iCs/>
              </w:rPr>
              <w:t xml:space="preserve"> </w:t>
            </w:r>
          </w:p>
        </w:tc>
      </w:tr>
      <w:tr w:rsidR="007C2C48" w:rsidRPr="007C2C48" w14:paraId="1B0A195E" w14:textId="77777777" w:rsidTr="00132DEE">
        <w:tc>
          <w:tcPr>
            <w:tcW w:w="9062" w:type="dxa"/>
            <w:shd w:val="clear" w:color="auto" w:fill="D9D9D9" w:themeFill="background1" w:themeFillShade="D9"/>
          </w:tcPr>
          <w:p w14:paraId="650F67B3" w14:textId="063042DA" w:rsidR="007C2C48" w:rsidRPr="00AE63CF" w:rsidRDefault="007C2C48" w:rsidP="00AE63CF">
            <w:pPr>
              <w:rPr>
                <w:b/>
              </w:rPr>
            </w:pPr>
            <w:r w:rsidRPr="00AE63CF">
              <w:rPr>
                <w:b/>
                <w:sz w:val="22"/>
                <w:szCs w:val="20"/>
              </w:rPr>
              <w:t xml:space="preserve">Legg ved en oversikt (mapping) som viser hvordan de obligatoriske emnene bidrar til at studentene oppnår læringsutbytte. </w:t>
            </w:r>
            <w:r w:rsidRPr="00AE63CF">
              <w:rPr>
                <w:bCs/>
                <w:sz w:val="22"/>
                <w:szCs w:val="20"/>
              </w:rPr>
              <w:t>Bruk vedlagte mal</w:t>
            </w:r>
            <w:r w:rsidR="00132DEE" w:rsidRPr="00AE63CF">
              <w:rPr>
                <w:bCs/>
                <w:sz w:val="22"/>
                <w:szCs w:val="20"/>
              </w:rPr>
              <w:t xml:space="preserve"> (Tabell 2)</w:t>
            </w:r>
          </w:p>
        </w:tc>
      </w:tr>
      <w:tr w:rsidR="007C2C48" w:rsidRPr="007C2C48" w14:paraId="468275FE" w14:textId="77777777" w:rsidTr="00132DEE">
        <w:tc>
          <w:tcPr>
            <w:tcW w:w="9062" w:type="dxa"/>
          </w:tcPr>
          <w:p w14:paraId="6D7BEEBB" w14:textId="3F6BD050" w:rsidR="007C2C48" w:rsidRPr="007C2C48" w:rsidRDefault="007C2C48" w:rsidP="00A95BA0">
            <w:pPr>
              <w:rPr>
                <w:bCs/>
                <w:i/>
                <w:iCs/>
              </w:rPr>
            </w:pPr>
            <w:r w:rsidRPr="007C2C48">
              <w:rPr>
                <w:bCs/>
                <w:i/>
                <w:iCs/>
              </w:rPr>
              <w:t xml:space="preserve">Eventuell kommentarer: </w:t>
            </w:r>
            <w:r w:rsidR="00132DEE">
              <w:rPr>
                <w:bCs/>
                <w:i/>
                <w:iCs/>
              </w:rPr>
              <w:br/>
            </w:r>
          </w:p>
        </w:tc>
      </w:tr>
      <w:tr w:rsidR="00132DEE" w:rsidRPr="00132DEE" w14:paraId="74DC1C99" w14:textId="77777777" w:rsidTr="00132DEE">
        <w:tc>
          <w:tcPr>
            <w:tcW w:w="9062" w:type="dxa"/>
            <w:shd w:val="clear" w:color="auto" w:fill="D9D9D9" w:themeFill="background1" w:themeFillShade="D9"/>
          </w:tcPr>
          <w:p w14:paraId="36EB1D9F" w14:textId="78CF6247" w:rsidR="00132DEE" w:rsidRPr="00AE63CF" w:rsidRDefault="00132DEE" w:rsidP="00AE63CF">
            <w:pPr>
              <w:rPr>
                <w:b/>
                <w:sz w:val="22"/>
                <w:szCs w:val="20"/>
              </w:rPr>
            </w:pPr>
            <w:r w:rsidRPr="00AE63CF">
              <w:rPr>
                <w:b/>
                <w:sz w:val="22"/>
                <w:szCs w:val="20"/>
              </w:rPr>
              <w:t>Legg ved</w:t>
            </w:r>
            <w:r w:rsidR="00D018D5">
              <w:rPr>
                <w:b/>
                <w:sz w:val="22"/>
                <w:szCs w:val="20"/>
              </w:rPr>
              <w:t xml:space="preserve"> lenker til</w:t>
            </w:r>
            <w:r w:rsidRPr="00AE63CF">
              <w:rPr>
                <w:b/>
                <w:sz w:val="22"/>
                <w:szCs w:val="20"/>
              </w:rPr>
              <w:t xml:space="preserve"> emnebeskrivelser for alle emner i studietilbudet. </w:t>
            </w:r>
          </w:p>
        </w:tc>
      </w:tr>
      <w:tr w:rsidR="00132DEE" w:rsidRPr="007C2C48" w14:paraId="12D6659A" w14:textId="77777777" w:rsidTr="00132DEE">
        <w:tc>
          <w:tcPr>
            <w:tcW w:w="9062" w:type="dxa"/>
          </w:tcPr>
          <w:p w14:paraId="51786563" w14:textId="262359A4" w:rsidR="00132DEE" w:rsidRPr="007C2C48" w:rsidRDefault="00132DEE" w:rsidP="00A95BA0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Eventuelle kommentarer: </w:t>
            </w:r>
            <w:r>
              <w:rPr>
                <w:bCs/>
                <w:i/>
                <w:iCs/>
              </w:rPr>
              <w:br/>
            </w:r>
          </w:p>
        </w:tc>
      </w:tr>
      <w:tr w:rsidR="007C2C48" w:rsidRPr="007C2C48" w14:paraId="027FD032" w14:textId="77777777" w:rsidTr="00132DEE">
        <w:tc>
          <w:tcPr>
            <w:tcW w:w="9062" w:type="dxa"/>
            <w:shd w:val="clear" w:color="auto" w:fill="D9D9D9" w:themeFill="background1" w:themeFillShade="D9"/>
          </w:tcPr>
          <w:p w14:paraId="15F56712" w14:textId="38F4532F" w:rsidR="007C2C48" w:rsidRPr="00AE63CF" w:rsidRDefault="007C2C48" w:rsidP="00AE63CF">
            <w:pPr>
              <w:rPr>
                <w:b/>
                <w:bCs/>
                <w:sz w:val="22"/>
                <w:szCs w:val="20"/>
              </w:rPr>
            </w:pPr>
            <w:r w:rsidRPr="00AE63CF">
              <w:rPr>
                <w:b/>
                <w:bCs/>
                <w:sz w:val="22"/>
                <w:szCs w:val="20"/>
              </w:rPr>
              <w:t>Redegjør for hvordan man sikrer nødvendig faglig progresjon i studiet.</w:t>
            </w:r>
          </w:p>
        </w:tc>
      </w:tr>
      <w:tr w:rsidR="007C2C48" w:rsidRPr="007C2C48" w14:paraId="72751037" w14:textId="77777777" w:rsidTr="00132DEE">
        <w:tc>
          <w:tcPr>
            <w:tcW w:w="9062" w:type="dxa"/>
          </w:tcPr>
          <w:p w14:paraId="7C62B98B" w14:textId="77777777" w:rsidR="007C2C48" w:rsidRPr="007C2C48" w:rsidRDefault="007C2C48" w:rsidP="00A95BA0">
            <w:pPr>
              <w:rPr>
                <w:color w:val="0070C0"/>
              </w:rPr>
            </w:pPr>
          </w:p>
        </w:tc>
      </w:tr>
    </w:tbl>
    <w:p w14:paraId="12437603" w14:textId="1D768F00" w:rsidR="00652E7F" w:rsidRPr="00A83FF4" w:rsidRDefault="00652E7F" w:rsidP="007C2C48">
      <w:pPr>
        <w:pStyle w:val="Style2"/>
        <w:numPr>
          <w:ilvl w:val="0"/>
          <w:numId w:val="0"/>
        </w:numPr>
        <w:rPr>
          <w:sz w:val="24"/>
          <w:szCs w:val="24"/>
        </w:rPr>
      </w:pPr>
    </w:p>
    <w:p w14:paraId="1EB83FDC" w14:textId="77777777" w:rsidR="00132DEE" w:rsidRDefault="00132DEE" w:rsidP="007C2C48">
      <w:pPr>
        <w:pStyle w:val="Style2"/>
        <w:numPr>
          <w:ilvl w:val="0"/>
          <w:numId w:val="0"/>
        </w:numPr>
        <w:rPr>
          <w:sz w:val="24"/>
          <w:szCs w:val="24"/>
        </w:rPr>
      </w:pPr>
    </w:p>
    <w:p w14:paraId="76460EA0" w14:textId="77777777" w:rsidR="005D1A09" w:rsidRPr="00A83FF4" w:rsidRDefault="005D1A09" w:rsidP="007C2C48">
      <w:pPr>
        <w:pStyle w:val="Style2"/>
        <w:numPr>
          <w:ilvl w:val="0"/>
          <w:numId w:val="0"/>
        </w:numPr>
        <w:rPr>
          <w:sz w:val="24"/>
          <w:szCs w:val="24"/>
        </w:rPr>
      </w:pPr>
    </w:p>
    <w:p w14:paraId="303CCBEF" w14:textId="77777777" w:rsidR="007C2C48" w:rsidRPr="00132DEE" w:rsidRDefault="007C2C48" w:rsidP="007C2C48">
      <w:pPr>
        <w:pStyle w:val="Style2"/>
        <w:rPr>
          <w:color w:val="156082" w:themeColor="accent1"/>
        </w:rPr>
      </w:pPr>
      <w:r w:rsidRPr="00132DEE">
        <w:rPr>
          <w:color w:val="156082" w:themeColor="accent1"/>
        </w:rPr>
        <w:t>Undervisnings-, lærings- og vurderingsformer skal være tilpasset læringsutbyttet og utformet slik at de fremmer at studentene tar en aktiv rolle i å forme læringsprosessen.</w:t>
      </w:r>
      <w:r w:rsidRPr="00132DEE">
        <w:rPr>
          <w:color w:val="156082" w:themeColor="accent1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7C2C48" w14:paraId="690F8E6E" w14:textId="77777777" w:rsidTr="00A95BA0">
        <w:trPr>
          <w:trHeight w:val="429"/>
        </w:trPr>
        <w:tc>
          <w:tcPr>
            <w:tcW w:w="9832" w:type="dxa"/>
            <w:shd w:val="clear" w:color="auto" w:fill="D9D9D9" w:themeFill="background1" w:themeFillShade="D9"/>
          </w:tcPr>
          <w:p w14:paraId="27685848" w14:textId="7D0EFB3E" w:rsidR="007C2C48" w:rsidRPr="007C2C48" w:rsidRDefault="007C2C48" w:rsidP="00A95BA0">
            <w:pPr>
              <w:rPr>
                <w:b/>
              </w:rPr>
            </w:pPr>
            <w:r w:rsidRPr="00B35BA9">
              <w:rPr>
                <w:b/>
                <w:sz w:val="22"/>
                <w:szCs w:val="20"/>
              </w:rPr>
              <w:t>Beskriv fra et programperspektiv hvordan undervisnings-, lærings- og vurderingsformene bidrar til at studenten oppnår læringsutbyttet.</w:t>
            </w:r>
          </w:p>
        </w:tc>
      </w:tr>
      <w:tr w:rsidR="007C2C48" w:rsidRPr="007C2C48" w14:paraId="3FB96CE1" w14:textId="77777777" w:rsidTr="00A95BA0">
        <w:tc>
          <w:tcPr>
            <w:tcW w:w="9832" w:type="dxa"/>
          </w:tcPr>
          <w:p w14:paraId="14D80EB8" w14:textId="77777777" w:rsidR="007C2C48" w:rsidRPr="007C2C48" w:rsidRDefault="007C2C48" w:rsidP="00A95BA0"/>
        </w:tc>
      </w:tr>
    </w:tbl>
    <w:p w14:paraId="24B1C95B" w14:textId="77777777" w:rsidR="004151BE" w:rsidRPr="005D1A09" w:rsidRDefault="004151BE">
      <w:pPr>
        <w:spacing w:after="160" w:line="259" w:lineRule="auto"/>
        <w:rPr>
          <w:color w:val="EE0000"/>
          <w:szCs w:val="24"/>
          <w:highlight w:val="yellow"/>
        </w:rPr>
      </w:pPr>
    </w:p>
    <w:p w14:paraId="7A2AC146" w14:textId="77777777" w:rsidR="00132DEE" w:rsidRDefault="00132DEE" w:rsidP="00B35BA9">
      <w:pPr>
        <w:pStyle w:val="Style2"/>
        <w:numPr>
          <w:ilvl w:val="0"/>
          <w:numId w:val="0"/>
        </w:numPr>
        <w:rPr>
          <w:color w:val="E97132" w:themeColor="accent2"/>
          <w:sz w:val="24"/>
          <w:szCs w:val="24"/>
        </w:rPr>
      </w:pPr>
    </w:p>
    <w:p w14:paraId="5482CF0C" w14:textId="77777777" w:rsidR="005D1A09" w:rsidRPr="005D1A09" w:rsidRDefault="005D1A09" w:rsidP="00B35BA9">
      <w:pPr>
        <w:pStyle w:val="Style2"/>
        <w:numPr>
          <w:ilvl w:val="0"/>
          <w:numId w:val="0"/>
        </w:numPr>
        <w:rPr>
          <w:color w:val="E97132" w:themeColor="accent2"/>
          <w:sz w:val="24"/>
          <w:szCs w:val="24"/>
        </w:rPr>
      </w:pPr>
    </w:p>
    <w:p w14:paraId="2D635604" w14:textId="77777777" w:rsidR="007C2C48" w:rsidRPr="00132DEE" w:rsidRDefault="007C2C48" w:rsidP="007C2C48">
      <w:pPr>
        <w:pStyle w:val="Style2"/>
        <w:rPr>
          <w:color w:val="156082" w:themeColor="accent1"/>
        </w:rPr>
      </w:pPr>
      <w:r w:rsidRPr="00132DEE">
        <w:rPr>
          <w:color w:val="156082" w:themeColor="accent1"/>
        </w:rPr>
        <w:t>Studietilbudets samlede arbeidsomfang skal være på 1500–1800 timer per år for heltidsstudier.</w:t>
      </w:r>
      <w:r w:rsidRPr="00132DEE">
        <w:rPr>
          <w:color w:val="156082" w:themeColor="accent1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7C2C48" w14:paraId="0DC6673F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56E79831" w14:textId="14145265" w:rsidR="007C2C48" w:rsidRPr="007C2C48" w:rsidRDefault="007C2C48" w:rsidP="00A95BA0">
            <w:pPr>
              <w:rPr>
                <w:b/>
              </w:rPr>
            </w:pPr>
            <w:r w:rsidRPr="00B35BA9">
              <w:rPr>
                <w:b/>
                <w:sz w:val="22"/>
                <w:szCs w:val="20"/>
              </w:rPr>
              <w:t xml:space="preserve">Redegjør for hvordan man </w:t>
            </w:r>
            <w:r w:rsidR="00335045">
              <w:rPr>
                <w:b/>
                <w:sz w:val="22"/>
                <w:szCs w:val="20"/>
              </w:rPr>
              <w:t>tar</w:t>
            </w:r>
            <w:r w:rsidRPr="00B35BA9">
              <w:rPr>
                <w:b/>
                <w:sz w:val="22"/>
                <w:szCs w:val="20"/>
              </w:rPr>
              <w:t xml:space="preserve"> hensyn til </w:t>
            </w:r>
            <w:r w:rsidR="0004698C">
              <w:rPr>
                <w:b/>
                <w:sz w:val="22"/>
                <w:szCs w:val="20"/>
              </w:rPr>
              <w:t xml:space="preserve">og vurderer </w:t>
            </w:r>
            <w:r w:rsidRPr="00B35BA9">
              <w:rPr>
                <w:b/>
                <w:sz w:val="22"/>
                <w:szCs w:val="20"/>
              </w:rPr>
              <w:t>studentens samlede arbeidsomfang i studieprogrammet</w:t>
            </w:r>
            <w:r w:rsidR="00B35BA9" w:rsidRPr="00B35BA9">
              <w:rPr>
                <w:b/>
                <w:sz w:val="22"/>
                <w:szCs w:val="20"/>
              </w:rPr>
              <w:t>.</w:t>
            </w:r>
          </w:p>
        </w:tc>
      </w:tr>
      <w:tr w:rsidR="007C2C48" w:rsidRPr="007C2C48" w14:paraId="5F2A5623" w14:textId="77777777" w:rsidTr="00A95BA0">
        <w:tc>
          <w:tcPr>
            <w:tcW w:w="9832" w:type="dxa"/>
          </w:tcPr>
          <w:p w14:paraId="0F738E64" w14:textId="77777777" w:rsidR="007C2C48" w:rsidRPr="007C2C48" w:rsidRDefault="007C2C48" w:rsidP="00A95BA0"/>
        </w:tc>
      </w:tr>
    </w:tbl>
    <w:p w14:paraId="46369DC8" w14:textId="29BD8D47" w:rsidR="00C86AE3" w:rsidRPr="005D1A09" w:rsidRDefault="00C86AE3" w:rsidP="00B35BA9">
      <w:pPr>
        <w:pStyle w:val="Style2"/>
        <w:numPr>
          <w:ilvl w:val="0"/>
          <w:numId w:val="0"/>
        </w:numPr>
        <w:rPr>
          <w:sz w:val="24"/>
          <w:szCs w:val="24"/>
        </w:rPr>
      </w:pPr>
    </w:p>
    <w:p w14:paraId="23B31F1E" w14:textId="77777777" w:rsidR="007C2C48" w:rsidRDefault="007C2C48" w:rsidP="00B35BA9">
      <w:pPr>
        <w:pStyle w:val="Style2"/>
        <w:numPr>
          <w:ilvl w:val="0"/>
          <w:numId w:val="0"/>
        </w:numPr>
        <w:rPr>
          <w:sz w:val="24"/>
          <w:szCs w:val="24"/>
        </w:rPr>
      </w:pPr>
    </w:p>
    <w:p w14:paraId="4B0E431C" w14:textId="77777777" w:rsidR="005D1A09" w:rsidRDefault="005D1A09" w:rsidP="00B35BA9">
      <w:pPr>
        <w:pStyle w:val="Style2"/>
        <w:numPr>
          <w:ilvl w:val="0"/>
          <w:numId w:val="0"/>
        </w:numPr>
        <w:rPr>
          <w:sz w:val="24"/>
          <w:szCs w:val="24"/>
        </w:rPr>
      </w:pPr>
    </w:p>
    <w:p w14:paraId="6A3A6110" w14:textId="77777777" w:rsidR="005D1A09" w:rsidRDefault="005D1A09" w:rsidP="00B35BA9">
      <w:pPr>
        <w:pStyle w:val="Style2"/>
        <w:numPr>
          <w:ilvl w:val="0"/>
          <w:numId w:val="0"/>
        </w:numPr>
        <w:rPr>
          <w:sz w:val="24"/>
          <w:szCs w:val="24"/>
        </w:rPr>
      </w:pPr>
    </w:p>
    <w:p w14:paraId="15C18A38" w14:textId="77777777" w:rsidR="005D1A09" w:rsidRPr="005D1A09" w:rsidRDefault="005D1A09" w:rsidP="00B35BA9">
      <w:pPr>
        <w:pStyle w:val="Style2"/>
        <w:numPr>
          <w:ilvl w:val="0"/>
          <w:numId w:val="0"/>
        </w:numPr>
        <w:rPr>
          <w:sz w:val="24"/>
          <w:szCs w:val="24"/>
        </w:rPr>
      </w:pPr>
    </w:p>
    <w:p w14:paraId="384FD4E7" w14:textId="67033EC3" w:rsidR="007C2C48" w:rsidRPr="00132DEE" w:rsidRDefault="007C2C48" w:rsidP="007C2C48">
      <w:pPr>
        <w:pStyle w:val="Style2"/>
        <w:rPr>
          <w:color w:val="156082" w:themeColor="accent1"/>
        </w:rPr>
      </w:pPr>
      <w:r w:rsidRPr="6F53B455">
        <w:rPr>
          <w:color w:val="156082" w:themeColor="accent1"/>
        </w:rPr>
        <w:t xml:space="preserve">Studietilbudet skal ha relevant kobling til forskning </w:t>
      </w:r>
      <w:r w:rsidR="00E31A94">
        <w:rPr>
          <w:color w:val="156082" w:themeColor="accent1"/>
        </w:rPr>
        <w:t>(</w:t>
      </w:r>
      <w:r w:rsidR="00FB1B38">
        <w:rPr>
          <w:color w:val="156082" w:themeColor="accent1"/>
        </w:rPr>
        <w:t>…)</w:t>
      </w:r>
      <w:r w:rsidR="00E31A94">
        <w:rPr>
          <w:color w:val="156082" w:themeColor="accent1"/>
        </w:rPr>
        <w:t xml:space="preserve"> </w:t>
      </w:r>
      <w:r w:rsidRPr="6F53B455">
        <w:rPr>
          <w:color w:val="156082" w:themeColor="accent1"/>
        </w:rPr>
        <w:t>og faglig utviklingsarbeid.</w:t>
      </w:r>
      <w: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7C2C48" w14:paraId="58214036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69A77430" w14:textId="77777777" w:rsidR="007C2C48" w:rsidRPr="007C2C48" w:rsidRDefault="007C2C48" w:rsidP="00A95BA0">
            <w:pPr>
              <w:rPr>
                <w:b/>
              </w:rPr>
            </w:pPr>
            <w:r w:rsidRPr="00B35BA9">
              <w:rPr>
                <w:b/>
                <w:sz w:val="22"/>
                <w:szCs w:val="20"/>
              </w:rPr>
              <w:t>Beskriv koblingen mellom fagmiljøets FoU-virksomhet og studietilbudet.</w:t>
            </w:r>
          </w:p>
        </w:tc>
      </w:tr>
      <w:tr w:rsidR="007C2C48" w:rsidRPr="007C2C48" w14:paraId="0AEC91EA" w14:textId="77777777" w:rsidTr="00A95BA0">
        <w:tc>
          <w:tcPr>
            <w:tcW w:w="9832" w:type="dxa"/>
          </w:tcPr>
          <w:p w14:paraId="0EA92B3E" w14:textId="77777777" w:rsidR="007C2C48" w:rsidRPr="007C2C48" w:rsidRDefault="007C2C48" w:rsidP="00A95BA0"/>
        </w:tc>
      </w:tr>
      <w:tr w:rsidR="007C2C48" w:rsidRPr="007C2C48" w14:paraId="7BCF9A0D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30A66DD0" w14:textId="77777777" w:rsidR="007C2C48" w:rsidRPr="007C2C48" w:rsidRDefault="007C2C48" w:rsidP="00A95BA0">
            <w:r w:rsidRPr="00B35BA9">
              <w:rPr>
                <w:b/>
                <w:sz w:val="22"/>
                <w:szCs w:val="20"/>
              </w:rPr>
              <w:t>Beskriv hvordan studentene introduseres for FoU-arbeid i løpet av studiet.</w:t>
            </w:r>
          </w:p>
        </w:tc>
      </w:tr>
      <w:tr w:rsidR="007C2C48" w:rsidRPr="007C2C48" w14:paraId="09AEF917" w14:textId="77777777" w:rsidTr="00A95BA0">
        <w:tc>
          <w:tcPr>
            <w:tcW w:w="9832" w:type="dxa"/>
            <w:shd w:val="clear" w:color="auto" w:fill="FFFFFF" w:themeFill="background1"/>
          </w:tcPr>
          <w:p w14:paraId="6655EE97" w14:textId="77777777" w:rsidR="007C2C48" w:rsidRPr="007C2C48" w:rsidRDefault="007C2C48" w:rsidP="00A95BA0">
            <w:pPr>
              <w:rPr>
                <w:b/>
              </w:rPr>
            </w:pPr>
          </w:p>
        </w:tc>
      </w:tr>
    </w:tbl>
    <w:p w14:paraId="18969FDB" w14:textId="35098DBF" w:rsidR="00724AA4" w:rsidRPr="0021198E" w:rsidRDefault="00724AA4" w:rsidP="007C2C48">
      <w:pPr>
        <w:pStyle w:val="Style2"/>
        <w:numPr>
          <w:ilvl w:val="0"/>
          <w:numId w:val="0"/>
        </w:numPr>
        <w:ind w:left="360"/>
        <w:rPr>
          <w:color w:val="EE0000"/>
          <w:sz w:val="24"/>
          <w:szCs w:val="24"/>
        </w:rPr>
      </w:pPr>
    </w:p>
    <w:p w14:paraId="26480C38" w14:textId="77777777" w:rsidR="007C2C48" w:rsidRDefault="007C2C48" w:rsidP="007C2C48">
      <w:pPr>
        <w:pStyle w:val="Style2"/>
        <w:numPr>
          <w:ilvl w:val="0"/>
          <w:numId w:val="0"/>
        </w:numPr>
        <w:ind w:left="360"/>
        <w:rPr>
          <w:sz w:val="24"/>
          <w:szCs w:val="24"/>
        </w:rPr>
      </w:pPr>
    </w:p>
    <w:p w14:paraId="3BD907A3" w14:textId="77777777" w:rsidR="0021198E" w:rsidRPr="0021198E" w:rsidRDefault="0021198E" w:rsidP="007C2C48">
      <w:pPr>
        <w:pStyle w:val="Style2"/>
        <w:numPr>
          <w:ilvl w:val="0"/>
          <w:numId w:val="0"/>
        </w:numPr>
        <w:ind w:left="360"/>
        <w:rPr>
          <w:sz w:val="24"/>
          <w:szCs w:val="24"/>
        </w:rPr>
      </w:pPr>
    </w:p>
    <w:p w14:paraId="5EBC15C9" w14:textId="77777777" w:rsidR="007C2C48" w:rsidRPr="00132DEE" w:rsidRDefault="007C2C48" w:rsidP="007C2C48">
      <w:pPr>
        <w:pStyle w:val="Style2"/>
        <w:rPr>
          <w:color w:val="156082" w:themeColor="accent1"/>
        </w:rPr>
      </w:pPr>
      <w:r w:rsidRPr="00132DEE">
        <w:rPr>
          <w:color w:val="156082" w:themeColor="accent1"/>
        </w:rPr>
        <w:t>Studietilbudets organisering og infrastruktur skal være tilpasset læringsutbyttet og stå i forhold til antallet studenter.</w:t>
      </w:r>
      <w:r w:rsidRPr="00132DEE">
        <w:rPr>
          <w:color w:val="156082" w:themeColor="accent1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7C2C48" w14:paraId="7F073B13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709CA758" w14:textId="77777777" w:rsidR="007C2C48" w:rsidRPr="00B35BA9" w:rsidRDefault="007C2C48" w:rsidP="00A95BA0">
            <w:pPr>
              <w:rPr>
                <w:b/>
                <w:sz w:val="22"/>
                <w:szCs w:val="20"/>
              </w:rPr>
            </w:pPr>
            <w:r w:rsidRPr="00B35BA9">
              <w:rPr>
                <w:b/>
                <w:sz w:val="22"/>
                <w:szCs w:val="20"/>
              </w:rPr>
              <w:t>Beskriv hvordan organisering og infrastruktur er tilpasset læringsutbyttet, og dimensjonert i forhold til antall studenter.</w:t>
            </w:r>
          </w:p>
          <w:p w14:paraId="44CCC751" w14:textId="77777777" w:rsidR="007C2C48" w:rsidRPr="007C2C48" w:rsidRDefault="007C2C48" w:rsidP="00A95BA0">
            <w:pPr>
              <w:rPr>
                <w:bCs/>
              </w:rPr>
            </w:pPr>
            <w:r w:rsidRPr="007C2C48">
              <w:rPr>
                <w:bCs/>
                <w:sz w:val="20"/>
                <w:szCs w:val="18"/>
              </w:rPr>
              <w:t xml:space="preserve">Med infrastruktur menes egnede lokaler, utstyr, bibliotekstjenester, administrative og tekniske tjenester, tilstrekkelige og egnede IKT-ressurser, nettstøtte, egnet læringsplattform etc. som understøtter studentenes læring og læringsmiljø og den faglig ansattes undervisning og forskning og faglige utviklingsarbeid.  </w:t>
            </w:r>
          </w:p>
        </w:tc>
      </w:tr>
      <w:tr w:rsidR="007C2C48" w:rsidRPr="007C2C48" w14:paraId="6139B1A8" w14:textId="77777777" w:rsidTr="00A95BA0">
        <w:tc>
          <w:tcPr>
            <w:tcW w:w="9832" w:type="dxa"/>
          </w:tcPr>
          <w:p w14:paraId="53724123" w14:textId="77777777" w:rsidR="007C2C48" w:rsidRPr="007C2C48" w:rsidRDefault="007C2C48" w:rsidP="00A95BA0"/>
        </w:tc>
      </w:tr>
    </w:tbl>
    <w:p w14:paraId="7D6160FB" w14:textId="6173AFEE" w:rsidR="00DC1EB5" w:rsidRPr="0021198E" w:rsidRDefault="00DC1EB5" w:rsidP="007C2C48">
      <w:pPr>
        <w:pStyle w:val="Style2"/>
        <w:numPr>
          <w:ilvl w:val="0"/>
          <w:numId w:val="0"/>
        </w:numPr>
        <w:ind w:left="360"/>
        <w:rPr>
          <w:color w:val="156082" w:themeColor="accent1"/>
          <w:sz w:val="24"/>
          <w:szCs w:val="24"/>
        </w:rPr>
      </w:pPr>
    </w:p>
    <w:p w14:paraId="55D181F6" w14:textId="77777777" w:rsidR="007C2C48" w:rsidRPr="0021198E" w:rsidRDefault="007C2C48" w:rsidP="007C2C48">
      <w:pPr>
        <w:pStyle w:val="Style2"/>
        <w:numPr>
          <w:ilvl w:val="0"/>
          <w:numId w:val="0"/>
        </w:numPr>
        <w:ind w:left="360"/>
        <w:rPr>
          <w:color w:val="156082" w:themeColor="accent1"/>
          <w:sz w:val="24"/>
          <w:szCs w:val="24"/>
        </w:rPr>
      </w:pPr>
    </w:p>
    <w:p w14:paraId="0CEF1F2A" w14:textId="77777777" w:rsidR="00B35BA9" w:rsidRPr="0021198E" w:rsidRDefault="00B35BA9" w:rsidP="007C2C48">
      <w:pPr>
        <w:pStyle w:val="Style2"/>
        <w:numPr>
          <w:ilvl w:val="0"/>
          <w:numId w:val="0"/>
        </w:numPr>
        <w:ind w:left="360"/>
        <w:rPr>
          <w:color w:val="156082" w:themeColor="accent1"/>
          <w:sz w:val="24"/>
          <w:szCs w:val="24"/>
        </w:rPr>
      </w:pPr>
    </w:p>
    <w:p w14:paraId="1BD26D0E" w14:textId="77777777" w:rsidR="007C2C48" w:rsidRPr="00132DEE" w:rsidRDefault="007C2C48" w:rsidP="007C2C48">
      <w:pPr>
        <w:pStyle w:val="Style2"/>
        <w:rPr>
          <w:color w:val="156082" w:themeColor="accent1"/>
        </w:rPr>
      </w:pPr>
      <w:r w:rsidRPr="00132DEE">
        <w:rPr>
          <w:color w:val="156082" w:themeColor="accent1"/>
        </w:rPr>
        <w:t>Studietilbudet skal ha ordninger for internasjonalisering som er tilpasset studietilbudets nivå, omfang og egenart. Studietilbud som fører fram til en grad, skal i tillegg ha faglig relevante ordninger for internasjonal studentutveksling.</w:t>
      </w:r>
    </w:p>
    <w:p w14:paraId="72AE6CE7" w14:textId="77777777" w:rsidR="007C2C48" w:rsidRPr="007C2C48" w:rsidRDefault="007C2C48" w:rsidP="007C2C48">
      <w:pPr>
        <w:pStyle w:val="Style2"/>
        <w:numPr>
          <w:ilvl w:val="0"/>
          <w:numId w:val="0"/>
        </w:numPr>
        <w:ind w:left="360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7C2C48" w14:paraId="6F222438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2894CA50" w14:textId="77777777" w:rsidR="007C2C48" w:rsidRPr="007C2C48" w:rsidRDefault="007C2C48" w:rsidP="00A95BA0">
            <w:r w:rsidRPr="00B35BA9">
              <w:rPr>
                <w:b/>
                <w:sz w:val="22"/>
                <w:szCs w:val="20"/>
              </w:rPr>
              <w:t xml:space="preserve">Beskriv hvordan studiet settes i en internasjonal kontekst og hvordan studenten på denne måten eksponeres for et mangfold av perspektiver. </w:t>
            </w:r>
          </w:p>
        </w:tc>
      </w:tr>
      <w:tr w:rsidR="007C2C48" w:rsidRPr="007C2C48" w14:paraId="6F249B92" w14:textId="77777777" w:rsidTr="00A95BA0">
        <w:tc>
          <w:tcPr>
            <w:tcW w:w="9832" w:type="dxa"/>
          </w:tcPr>
          <w:p w14:paraId="0BD46B4A" w14:textId="77777777" w:rsidR="007C2C48" w:rsidRPr="007C2C48" w:rsidRDefault="007C2C48" w:rsidP="00A95BA0"/>
        </w:tc>
      </w:tr>
      <w:tr w:rsidR="007C2C48" w:rsidRPr="007C2C48" w14:paraId="0FAE5661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6A7117E3" w14:textId="77777777" w:rsidR="007C2C48" w:rsidRPr="007C2C48" w:rsidRDefault="007C2C48" w:rsidP="00A95BA0">
            <w:pPr>
              <w:rPr>
                <w:b/>
                <w:szCs w:val="20"/>
              </w:rPr>
            </w:pPr>
            <w:r w:rsidRPr="00B35BA9">
              <w:rPr>
                <w:b/>
                <w:sz w:val="22"/>
                <w:szCs w:val="18"/>
              </w:rPr>
              <w:t xml:space="preserve">Beskriv hvordan studiet legger til rette for internasjonal utveksling, hvilket tidspunkt i studiet utveksling er mulig, og ev. kriterier som må være oppfylt.  </w:t>
            </w:r>
          </w:p>
        </w:tc>
      </w:tr>
      <w:tr w:rsidR="007C2C48" w:rsidRPr="007C2C48" w14:paraId="2FD89EB2" w14:textId="77777777" w:rsidTr="00A95BA0">
        <w:tc>
          <w:tcPr>
            <w:tcW w:w="9832" w:type="dxa"/>
          </w:tcPr>
          <w:p w14:paraId="2E3484D5" w14:textId="77777777" w:rsidR="007C2C48" w:rsidRPr="007C2C48" w:rsidRDefault="007C2C48" w:rsidP="00A95BA0"/>
        </w:tc>
      </w:tr>
    </w:tbl>
    <w:p w14:paraId="7A6144CC" w14:textId="5CBD254F" w:rsidR="007C2C48" w:rsidRPr="007C2C48" w:rsidRDefault="007C2C48" w:rsidP="007C2C48">
      <w:pPr>
        <w:spacing w:after="200"/>
        <w:rPr>
          <w:b/>
          <w:bCs/>
          <w:sz w:val="32"/>
          <w:szCs w:val="32"/>
        </w:rPr>
      </w:pPr>
      <w:r w:rsidRPr="007C2C48">
        <w:br w:type="page"/>
      </w:r>
    </w:p>
    <w:p w14:paraId="00993682" w14:textId="0F7D7ADC" w:rsidR="007C2C48" w:rsidRDefault="007C2C48" w:rsidP="007C2C48">
      <w:pPr>
        <w:pStyle w:val="Style1"/>
      </w:pPr>
      <w:r w:rsidRPr="007C2C48">
        <w:t>§ 1-12. Generelle krav til fagmiljøet</w:t>
      </w:r>
      <w:r w:rsidR="007B2E75"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2E75" w:rsidRPr="0082066E" w14:paraId="3CFCD482" w14:textId="77777777" w:rsidTr="00C725D7">
        <w:tc>
          <w:tcPr>
            <w:tcW w:w="9832" w:type="dxa"/>
            <w:shd w:val="clear" w:color="auto" w:fill="D9D9D9" w:themeFill="background1" w:themeFillShade="D9"/>
          </w:tcPr>
          <w:p w14:paraId="136C4E19" w14:textId="77777777" w:rsidR="007B2E75" w:rsidRPr="0082066E" w:rsidRDefault="007B2E75" w:rsidP="00C725D7">
            <w:pPr>
              <w:rPr>
                <w:b/>
                <w:sz w:val="22"/>
              </w:rPr>
            </w:pPr>
            <w:r w:rsidRPr="0082066E">
              <w:rPr>
                <w:b/>
                <w:sz w:val="22"/>
              </w:rPr>
              <w:t xml:space="preserve">Legg ved en oversikt over fagmiljøet som er knyttet til studietilbudet. </w:t>
            </w:r>
            <w:r w:rsidRPr="0082066E">
              <w:rPr>
                <w:b/>
                <w:sz w:val="22"/>
              </w:rPr>
              <w:br/>
            </w:r>
            <w:r w:rsidRPr="0082066E">
              <w:rPr>
                <w:bCs/>
                <w:sz w:val="22"/>
              </w:rPr>
              <w:t>Bruk vedlagte mal (Tabell 3)</w:t>
            </w:r>
          </w:p>
        </w:tc>
      </w:tr>
      <w:tr w:rsidR="007B2E75" w:rsidRPr="0082066E" w14:paraId="7AEF91AC" w14:textId="77777777" w:rsidTr="00C725D7">
        <w:tc>
          <w:tcPr>
            <w:tcW w:w="9832" w:type="dxa"/>
          </w:tcPr>
          <w:p w14:paraId="4A7162FE" w14:textId="77777777" w:rsidR="007B2E75" w:rsidRPr="0082066E" w:rsidRDefault="007B2E75" w:rsidP="00C725D7">
            <w:pPr>
              <w:rPr>
                <w:i/>
                <w:iCs/>
              </w:rPr>
            </w:pPr>
            <w:r w:rsidRPr="0082066E">
              <w:rPr>
                <w:i/>
                <w:iCs/>
              </w:rPr>
              <w:t xml:space="preserve">Eventuelle kommentarer: </w:t>
            </w:r>
            <w:r w:rsidRPr="0082066E">
              <w:rPr>
                <w:i/>
                <w:iCs/>
              </w:rPr>
              <w:br/>
            </w:r>
          </w:p>
        </w:tc>
      </w:tr>
    </w:tbl>
    <w:p w14:paraId="53B466CC" w14:textId="77777777" w:rsidR="007B2E75" w:rsidRPr="0082066E" w:rsidRDefault="007B2E75" w:rsidP="007B2E75">
      <w:pPr>
        <w:rPr>
          <w:b/>
          <w:bCs/>
          <w:color w:val="EE0000"/>
          <w:szCs w:val="28"/>
        </w:rPr>
      </w:pPr>
    </w:p>
    <w:p w14:paraId="4AD88EEE" w14:textId="77777777" w:rsidR="007B2E75" w:rsidRPr="0082066E" w:rsidRDefault="007B2E75" w:rsidP="007B2E75">
      <w:pPr>
        <w:rPr>
          <w:b/>
          <w:bCs/>
          <w:i/>
          <w:iCs/>
          <w:color w:val="156082" w:themeColor="accent1"/>
          <w:szCs w:val="28"/>
        </w:rPr>
      </w:pPr>
      <w:r w:rsidRPr="0082066E">
        <w:rPr>
          <w:b/>
          <w:bCs/>
          <w:i/>
          <w:iCs/>
          <w:color w:val="156082" w:themeColor="accent1"/>
          <w:szCs w:val="28"/>
        </w:rPr>
        <w:t>Fagmiljøet tilknyttet studietilbudet skal ha en størrelse som står i forhold til antall studenter og studiets egenart, være kompetansemessig stabilt over tid og ha en sammensetning som dekker de fag og emner som inngår i studietilbudet.</w:t>
      </w:r>
    </w:p>
    <w:p w14:paraId="70F00CBC" w14:textId="77777777" w:rsidR="007B2E75" w:rsidRPr="0082066E" w:rsidRDefault="007B2E75" w:rsidP="007B2E75">
      <w:pPr>
        <w:rPr>
          <w:b/>
          <w:bCs/>
          <w:szCs w:val="28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2E75" w:rsidRPr="0082066E" w14:paraId="6E6E2E31" w14:textId="77777777" w:rsidTr="00C725D7">
        <w:tc>
          <w:tcPr>
            <w:tcW w:w="9832" w:type="dxa"/>
            <w:shd w:val="clear" w:color="auto" w:fill="D9D9D9" w:themeFill="background1" w:themeFillShade="D9"/>
          </w:tcPr>
          <w:p w14:paraId="4425850D" w14:textId="799490D8" w:rsidR="007B2E75" w:rsidRPr="0082066E" w:rsidRDefault="00034D93" w:rsidP="00C725D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Redegjør kort for fagmiljøets størrelse</w:t>
            </w:r>
            <w:r w:rsidR="00D96409">
              <w:rPr>
                <w:b/>
                <w:sz w:val="22"/>
              </w:rPr>
              <w:t>, stabilitet og sammensetning</w:t>
            </w:r>
          </w:p>
        </w:tc>
      </w:tr>
      <w:tr w:rsidR="007B2E75" w:rsidRPr="0082066E" w14:paraId="559CE6AA" w14:textId="77777777" w:rsidTr="00C725D7">
        <w:tc>
          <w:tcPr>
            <w:tcW w:w="9832" w:type="dxa"/>
          </w:tcPr>
          <w:p w14:paraId="13EF1247" w14:textId="77777777" w:rsidR="007B2E75" w:rsidRPr="0082066E" w:rsidRDefault="007B2E75" w:rsidP="00C725D7"/>
        </w:tc>
      </w:tr>
    </w:tbl>
    <w:p w14:paraId="7F49DC6C" w14:textId="77777777" w:rsidR="007B2E75" w:rsidRPr="0082066E" w:rsidRDefault="007B2E75" w:rsidP="007B2E75"/>
    <w:p w14:paraId="4F9A252D" w14:textId="77777777" w:rsidR="007B2E75" w:rsidRPr="0082066E" w:rsidRDefault="007B2E75" w:rsidP="007B2E75">
      <w:pPr>
        <w:rPr>
          <w:b/>
          <w:bCs/>
          <w:i/>
          <w:iCs/>
          <w:color w:val="156082" w:themeColor="accent1"/>
          <w:szCs w:val="28"/>
        </w:rPr>
      </w:pPr>
      <w:r w:rsidRPr="0082066E">
        <w:rPr>
          <w:b/>
          <w:bCs/>
          <w:i/>
          <w:iCs/>
          <w:color w:val="156082" w:themeColor="accent1"/>
          <w:szCs w:val="28"/>
        </w:rPr>
        <w:t>Minst 50 prosent av årsverkene knyttet til studietilbudet skal utføres av ansatte i hovedstilling ved institusjonen. I de sentrale delene av studietilbudene skal det være ansatte i hovedstilling med førstestillingskompetanse. Førstestillingskompetanse innehas av ansatte i førstestilling og andre med doktorgrad. Førstestillinger er stillingene førstelektor, førsteamanuensis, dosent og professor.</w:t>
      </w:r>
    </w:p>
    <w:p w14:paraId="6791189F" w14:textId="77777777" w:rsidR="007B2E75" w:rsidRPr="0082066E" w:rsidRDefault="007B2E75" w:rsidP="007B2E75">
      <w:pPr>
        <w:rPr>
          <w:b/>
          <w:bCs/>
          <w:i/>
          <w:iCs/>
          <w:color w:val="E97132" w:themeColor="accent2"/>
          <w:sz w:val="28"/>
          <w:szCs w:val="3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2E75" w:rsidRPr="0082066E" w14:paraId="41F6690A" w14:textId="77777777" w:rsidTr="00C725D7">
        <w:tc>
          <w:tcPr>
            <w:tcW w:w="9832" w:type="dxa"/>
            <w:shd w:val="clear" w:color="auto" w:fill="D9D9D9" w:themeFill="background1" w:themeFillShade="D9"/>
          </w:tcPr>
          <w:p w14:paraId="446A6D78" w14:textId="77777777" w:rsidR="007B2E75" w:rsidRPr="0082066E" w:rsidRDefault="007B2E75" w:rsidP="00C725D7">
            <w:pPr>
              <w:rPr>
                <w:b/>
              </w:rPr>
            </w:pPr>
            <w:r w:rsidRPr="0082066E">
              <w:rPr>
                <w:b/>
              </w:rPr>
              <w:t xml:space="preserve">Angi hvor mange prosent av årsverkene som er knyttet til studietilbudet som utføres av ansatte i hovedstilling.  </w:t>
            </w:r>
          </w:p>
        </w:tc>
      </w:tr>
      <w:tr w:rsidR="007B2E75" w:rsidRPr="0082066E" w14:paraId="1BDC6CE7" w14:textId="77777777" w:rsidTr="00C725D7">
        <w:tc>
          <w:tcPr>
            <w:tcW w:w="9832" w:type="dxa"/>
          </w:tcPr>
          <w:p w14:paraId="2528734F" w14:textId="77777777" w:rsidR="007B2E75" w:rsidRPr="0082066E" w:rsidRDefault="007B2E75" w:rsidP="00C725D7"/>
        </w:tc>
      </w:tr>
    </w:tbl>
    <w:p w14:paraId="724A8D2B" w14:textId="77777777" w:rsidR="007B2E75" w:rsidRPr="0082066E" w:rsidRDefault="007B2E75" w:rsidP="007B2E75">
      <w:pPr>
        <w:rPr>
          <w:szCs w:val="28"/>
        </w:rPr>
      </w:pPr>
    </w:p>
    <w:p w14:paraId="31168DC1" w14:textId="77777777" w:rsidR="007B2E75" w:rsidRPr="0082066E" w:rsidRDefault="007B2E75" w:rsidP="007B2E75">
      <w:pPr>
        <w:pStyle w:val="Style2"/>
        <w:numPr>
          <w:ilvl w:val="0"/>
          <w:numId w:val="0"/>
        </w:numPr>
        <w:rPr>
          <w:color w:val="156082" w:themeColor="accent1"/>
          <w:sz w:val="24"/>
          <w:szCs w:val="24"/>
        </w:rPr>
      </w:pPr>
      <w:r w:rsidRPr="0082066E">
        <w:rPr>
          <w:color w:val="156082" w:themeColor="accent1"/>
          <w:sz w:val="24"/>
          <w:szCs w:val="24"/>
        </w:rPr>
        <w:t xml:space="preserve">Fagmiljøet skal ha relevant utdanningsfaglig kompetanse i universitets- og høyskolepedagogikk og -didaktikk, samt kompetanse til å utnytte digital teknologi for å fremme læring. Institusjonen skal legge til rette for oppdatering og utvikling av fagmiljøets kompetanse. </w:t>
      </w:r>
    </w:p>
    <w:p w14:paraId="4948E494" w14:textId="77777777" w:rsidR="007B2E75" w:rsidRPr="0082066E" w:rsidRDefault="007B2E75" w:rsidP="007B2E75">
      <w:pPr>
        <w:rPr>
          <w:b/>
          <w:bCs/>
          <w:i/>
          <w:iCs/>
          <w:color w:val="E97132" w:themeColor="accent2"/>
          <w:sz w:val="28"/>
          <w:szCs w:val="3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2E75" w:rsidRPr="0082066E" w14:paraId="1F9944F1" w14:textId="77777777" w:rsidTr="00C725D7">
        <w:tc>
          <w:tcPr>
            <w:tcW w:w="9832" w:type="dxa"/>
            <w:shd w:val="clear" w:color="auto" w:fill="D9D9D9" w:themeFill="background1" w:themeFillShade="D9"/>
          </w:tcPr>
          <w:p w14:paraId="0C75D5D7" w14:textId="77777777" w:rsidR="007B2E75" w:rsidRPr="0082066E" w:rsidRDefault="007B2E75" w:rsidP="00C725D7">
            <w:pPr>
              <w:rPr>
                <w:b/>
              </w:rPr>
            </w:pPr>
            <w:r w:rsidRPr="0082066E">
              <w:rPr>
                <w:b/>
              </w:rPr>
              <w:t>Angi fagmiljøets utdanningsfaglige kompetanse, samt kompetanse til å utnytte digital teknologi for å fremme læring</w:t>
            </w:r>
          </w:p>
        </w:tc>
      </w:tr>
      <w:tr w:rsidR="007B2E75" w:rsidRPr="0082066E" w14:paraId="6ED87E03" w14:textId="77777777" w:rsidTr="00C725D7">
        <w:tc>
          <w:tcPr>
            <w:tcW w:w="9832" w:type="dxa"/>
          </w:tcPr>
          <w:p w14:paraId="55F68EFE" w14:textId="77777777" w:rsidR="007B2E75" w:rsidRPr="0082066E" w:rsidRDefault="007B2E75" w:rsidP="00C725D7"/>
        </w:tc>
      </w:tr>
    </w:tbl>
    <w:p w14:paraId="02672DD5" w14:textId="77777777" w:rsidR="007B2E75" w:rsidRPr="0082066E" w:rsidRDefault="007B2E75" w:rsidP="007B2E75"/>
    <w:p w14:paraId="4B55F7DB" w14:textId="77777777" w:rsidR="007B2E75" w:rsidRPr="0082066E" w:rsidRDefault="007B2E75" w:rsidP="007B2E75">
      <w:pPr>
        <w:rPr>
          <w:b/>
          <w:bCs/>
          <w:i/>
          <w:iCs/>
          <w:color w:val="156082" w:themeColor="accent1"/>
          <w:szCs w:val="28"/>
        </w:rPr>
      </w:pPr>
      <w:r w:rsidRPr="0082066E">
        <w:rPr>
          <w:b/>
          <w:bCs/>
          <w:i/>
          <w:iCs/>
          <w:color w:val="156082" w:themeColor="accent1"/>
          <w:szCs w:val="28"/>
        </w:rPr>
        <w:t xml:space="preserve">Fagmiljøet tilknyttet studietilbud som fører fram til en grad og andre studietilbud av et omfang på 60 studiepoeng eller mer, skal delta aktivt i relevante nasjonale og internasjonale samarbeid og nettverk. </w:t>
      </w:r>
    </w:p>
    <w:p w14:paraId="3C125E3C" w14:textId="77777777" w:rsidR="007B2E75" w:rsidRPr="0082066E" w:rsidRDefault="007B2E75" w:rsidP="007B2E75">
      <w:pPr>
        <w:rPr>
          <w:b/>
          <w:bCs/>
          <w:i/>
          <w:iCs/>
          <w:color w:val="E97132" w:themeColor="accent2"/>
          <w:sz w:val="28"/>
          <w:szCs w:val="3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2E75" w:rsidRPr="0082066E" w14:paraId="0971A32E" w14:textId="77777777" w:rsidTr="00C725D7">
        <w:tc>
          <w:tcPr>
            <w:tcW w:w="9832" w:type="dxa"/>
            <w:shd w:val="clear" w:color="auto" w:fill="D9D9D9" w:themeFill="background1" w:themeFillShade="D9"/>
          </w:tcPr>
          <w:p w14:paraId="27B5EDD4" w14:textId="77777777" w:rsidR="007B2E75" w:rsidRPr="0082066E" w:rsidRDefault="007B2E75" w:rsidP="00C725D7">
            <w:pPr>
              <w:rPr>
                <w:b/>
              </w:rPr>
            </w:pPr>
            <w:r w:rsidRPr="0082066E">
              <w:rPr>
                <w:b/>
              </w:rPr>
              <w:t>Beskriv fagmiljøets deltagelse i relevante nasjonale og internasjonale samarbeid og nettverk</w:t>
            </w:r>
          </w:p>
        </w:tc>
      </w:tr>
      <w:tr w:rsidR="007B2E75" w:rsidRPr="0082066E" w14:paraId="44556D00" w14:textId="77777777" w:rsidTr="00C725D7">
        <w:tc>
          <w:tcPr>
            <w:tcW w:w="9832" w:type="dxa"/>
          </w:tcPr>
          <w:p w14:paraId="678DC1EC" w14:textId="77777777" w:rsidR="007B2E75" w:rsidRPr="0082066E" w:rsidRDefault="007B2E75" w:rsidP="00C725D7"/>
        </w:tc>
      </w:tr>
    </w:tbl>
    <w:p w14:paraId="1C4372EB" w14:textId="77777777" w:rsidR="007B2E75" w:rsidRPr="0082066E" w:rsidRDefault="007B2E75" w:rsidP="007B2E75"/>
    <w:p w14:paraId="629C53A5" w14:textId="77777777" w:rsidR="007B2E75" w:rsidRPr="0082066E" w:rsidRDefault="007B2E75" w:rsidP="007B2E75">
      <w:pPr>
        <w:pStyle w:val="Style2"/>
        <w:numPr>
          <w:ilvl w:val="0"/>
          <w:numId w:val="0"/>
        </w:numPr>
        <w:rPr>
          <w:color w:val="E97132" w:themeColor="accent2"/>
        </w:rPr>
      </w:pPr>
    </w:p>
    <w:p w14:paraId="2241DC93" w14:textId="77777777" w:rsidR="007B2E75" w:rsidRPr="0082066E" w:rsidRDefault="007B2E75" w:rsidP="007B2E75">
      <w:pPr>
        <w:rPr>
          <w:b/>
          <w:bCs/>
          <w:sz w:val="32"/>
          <w:szCs w:val="28"/>
        </w:rPr>
      </w:pPr>
      <w:r w:rsidRPr="0082066E">
        <w:rPr>
          <w:b/>
          <w:bCs/>
          <w:sz w:val="32"/>
          <w:szCs w:val="28"/>
        </w:rPr>
        <w:t>Særskilte krav til fagmiljøet</w:t>
      </w:r>
    </w:p>
    <w:p w14:paraId="53B7C200" w14:textId="77777777" w:rsidR="007B2E75" w:rsidRPr="0082066E" w:rsidRDefault="007B2E75" w:rsidP="007B2E75">
      <w:pPr>
        <w:rPr>
          <w:szCs w:val="24"/>
        </w:rPr>
      </w:pPr>
      <w:r w:rsidRPr="0082066E">
        <w:rPr>
          <w:szCs w:val="24"/>
        </w:rPr>
        <w:t>I tillegg til de generelle kravene til fagmiljøet beskrevet i §1-12, er det også særskilte krav til fagmiljøet som er avhengig av hvilket nivå studietilbudet er på.</w:t>
      </w:r>
      <w:r>
        <w:rPr>
          <w:szCs w:val="24"/>
        </w:rPr>
        <w:t xml:space="preserve"> Kravene er beskrevet i: </w:t>
      </w:r>
      <w:r>
        <w:rPr>
          <w:szCs w:val="24"/>
        </w:rPr>
        <w:br/>
      </w:r>
    </w:p>
    <w:p w14:paraId="4B9A6898" w14:textId="77777777" w:rsidR="007B2E75" w:rsidRPr="00EC1DC9" w:rsidRDefault="007B2E75" w:rsidP="007B2E75">
      <w:pPr>
        <w:pStyle w:val="ListParagraph"/>
        <w:numPr>
          <w:ilvl w:val="0"/>
          <w:numId w:val="18"/>
        </w:numPr>
        <w:rPr>
          <w:szCs w:val="24"/>
        </w:rPr>
      </w:pPr>
      <w:r w:rsidRPr="00EC1DC9">
        <w:rPr>
          <w:szCs w:val="24"/>
        </w:rPr>
        <w:t xml:space="preserve">Bachelor: </w:t>
      </w:r>
      <w:r w:rsidRPr="00EC1DC9">
        <w:rPr>
          <w:szCs w:val="24"/>
        </w:rPr>
        <w:tab/>
        <w:t>§ 1-13. Særskilte krav til studietilbud på lavere grad</w:t>
      </w:r>
    </w:p>
    <w:p w14:paraId="7DAB6CF3" w14:textId="77777777" w:rsidR="007B2E75" w:rsidRPr="00EC1DC9" w:rsidRDefault="007B2E75" w:rsidP="007B2E75">
      <w:pPr>
        <w:pStyle w:val="ListParagraph"/>
        <w:numPr>
          <w:ilvl w:val="0"/>
          <w:numId w:val="18"/>
        </w:numPr>
        <w:rPr>
          <w:szCs w:val="24"/>
        </w:rPr>
      </w:pPr>
      <w:r w:rsidRPr="00EC1DC9">
        <w:rPr>
          <w:szCs w:val="24"/>
        </w:rPr>
        <w:t xml:space="preserve">Master: </w:t>
      </w:r>
      <w:r w:rsidRPr="00EC1DC9">
        <w:rPr>
          <w:szCs w:val="24"/>
        </w:rPr>
        <w:tab/>
        <w:t>§ 1-14. Særskilte krav til studietilbud på høyere grad</w:t>
      </w:r>
    </w:p>
    <w:p w14:paraId="347FAF66" w14:textId="77777777" w:rsidR="007B2E75" w:rsidRPr="00EC1DC9" w:rsidRDefault="007B2E75" w:rsidP="007B2E75">
      <w:pPr>
        <w:pStyle w:val="ListParagraph"/>
        <w:numPr>
          <w:ilvl w:val="0"/>
          <w:numId w:val="18"/>
        </w:numPr>
        <w:rPr>
          <w:szCs w:val="24"/>
        </w:rPr>
      </w:pPr>
      <w:r w:rsidRPr="00EC1DC9">
        <w:rPr>
          <w:szCs w:val="24"/>
        </w:rPr>
        <w:t xml:space="preserve">PhD: </w:t>
      </w:r>
      <w:r w:rsidRPr="00EC1DC9">
        <w:rPr>
          <w:szCs w:val="24"/>
        </w:rPr>
        <w:tab/>
      </w:r>
      <w:r w:rsidRPr="0082066E">
        <w:t>§ 1-1</w:t>
      </w:r>
      <w:r>
        <w:t>5</w:t>
      </w:r>
      <w:r w:rsidRPr="0082066E">
        <w:t>. Særskilte krav til doktorgradsutdanninger</w:t>
      </w:r>
    </w:p>
    <w:p w14:paraId="21789F1E" w14:textId="77777777" w:rsidR="007B2E75" w:rsidRPr="00F71314" w:rsidRDefault="007B2E75" w:rsidP="007B2E75">
      <w:r>
        <w:br/>
      </w:r>
      <w:r w:rsidRPr="00F71314">
        <w:t>Se nederst i dette dokumentet</w:t>
      </w:r>
      <w:r>
        <w:t xml:space="preserve"> for flere detaljer. </w:t>
      </w:r>
    </w:p>
    <w:p w14:paraId="2B7D0B2E" w14:textId="77777777" w:rsidR="007B2E75" w:rsidRPr="0082066E" w:rsidRDefault="007B2E75" w:rsidP="007B2E75">
      <w:pPr>
        <w:rPr>
          <w:b/>
          <w:bCs/>
          <w:sz w:val="32"/>
          <w:szCs w:val="28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2E75" w:rsidRPr="0082066E" w14:paraId="08C3736F" w14:textId="77777777" w:rsidTr="00C725D7">
        <w:tc>
          <w:tcPr>
            <w:tcW w:w="9832" w:type="dxa"/>
            <w:shd w:val="clear" w:color="auto" w:fill="D9D9D9" w:themeFill="background1" w:themeFillShade="D9"/>
          </w:tcPr>
          <w:p w14:paraId="7722AFE9" w14:textId="77777777" w:rsidR="007B2E75" w:rsidRPr="0082066E" w:rsidRDefault="007B2E75" w:rsidP="00C725D7">
            <w:pPr>
              <w:rPr>
                <w:b/>
                <w:sz w:val="22"/>
              </w:rPr>
            </w:pPr>
            <w:r w:rsidRPr="0082066E">
              <w:rPr>
                <w:b/>
                <w:sz w:val="22"/>
              </w:rPr>
              <w:t>Redegjør for hvordan de særskilte kravene til</w:t>
            </w:r>
            <w:r>
              <w:rPr>
                <w:b/>
                <w:sz w:val="22"/>
              </w:rPr>
              <w:t xml:space="preserve"> studietilbudet er oppfylt</w:t>
            </w:r>
          </w:p>
        </w:tc>
      </w:tr>
      <w:tr w:rsidR="007B2E75" w:rsidRPr="0082066E" w14:paraId="4CE71273" w14:textId="77777777" w:rsidTr="00C725D7">
        <w:tc>
          <w:tcPr>
            <w:tcW w:w="9832" w:type="dxa"/>
          </w:tcPr>
          <w:p w14:paraId="4D30317B" w14:textId="77777777" w:rsidR="007B2E75" w:rsidRPr="0082066E" w:rsidRDefault="007B2E75" w:rsidP="00C725D7"/>
        </w:tc>
      </w:tr>
    </w:tbl>
    <w:p w14:paraId="57BBACA7" w14:textId="77777777" w:rsidR="007B2E75" w:rsidRPr="0082066E" w:rsidRDefault="007B2E75" w:rsidP="007B2E75">
      <w:pPr>
        <w:rPr>
          <w:b/>
          <w:bCs/>
          <w:sz w:val="32"/>
          <w:szCs w:val="28"/>
        </w:rPr>
      </w:pPr>
    </w:p>
    <w:p w14:paraId="55DB6B91" w14:textId="77777777" w:rsidR="007B2E75" w:rsidRPr="0082066E" w:rsidRDefault="007B2E75" w:rsidP="007B2E75">
      <w:pPr>
        <w:rPr>
          <w:b/>
          <w:bCs/>
          <w:sz w:val="32"/>
          <w:szCs w:val="28"/>
        </w:rPr>
      </w:pPr>
      <w:r w:rsidRPr="00F77FDA">
        <w:rPr>
          <w:b/>
          <w:bCs/>
          <w:sz w:val="28"/>
          <w:szCs w:val="24"/>
        </w:rPr>
        <w:t>§ 1-13. Særskilte krav til studietilbud på lavere grad</w:t>
      </w:r>
      <w:r w:rsidRPr="00F77FDA">
        <w:rPr>
          <w:sz w:val="22"/>
          <w:szCs w:val="20"/>
        </w:rPr>
        <w:br/>
      </w:r>
    </w:p>
    <w:p w14:paraId="5DBA7EE7" w14:textId="7F190B91" w:rsidR="007B2E75" w:rsidRPr="001C7627" w:rsidRDefault="007B2E75" w:rsidP="007B2E75">
      <w:pPr>
        <w:rPr>
          <w:i/>
          <w:iCs/>
        </w:rPr>
      </w:pPr>
      <w:r w:rsidRPr="001C7627">
        <w:rPr>
          <w:i/>
          <w:iCs/>
        </w:rPr>
        <w:t xml:space="preserve">Fagmiljøet skal ha relevant og stabil kompetanse innenfor utdanning, faglig utviklingsarbeid og forskning </w:t>
      </w:r>
      <w:r w:rsidR="00561A4C">
        <w:rPr>
          <w:i/>
          <w:iCs/>
        </w:rPr>
        <w:t>(…)</w:t>
      </w:r>
      <w:r w:rsidRPr="001C7627">
        <w:rPr>
          <w:i/>
          <w:iCs/>
        </w:rPr>
        <w:t>.</w:t>
      </w:r>
    </w:p>
    <w:p w14:paraId="56A34CF7" w14:textId="77777777" w:rsidR="007B2E75" w:rsidRPr="001C7627" w:rsidRDefault="007B2E75" w:rsidP="007B2E75">
      <w:pPr>
        <w:rPr>
          <w:i/>
          <w:iCs/>
        </w:rPr>
      </w:pPr>
      <w:r w:rsidRPr="001C7627">
        <w:rPr>
          <w:i/>
          <w:iCs/>
        </w:rPr>
        <w:br/>
        <w:t>Innenfor studietilbudets fagområde skal minst 20 prosent av årsverkene i fagmiljøet ha førstestillingskompetanse.</w:t>
      </w:r>
      <w:r w:rsidRPr="001C7627">
        <w:rPr>
          <w:i/>
          <w:iCs/>
        </w:rPr>
        <w:br/>
      </w:r>
      <w:r w:rsidRPr="001C7627">
        <w:rPr>
          <w:i/>
          <w:iCs/>
        </w:rPr>
        <w:br/>
        <w:t>Fagmiljøet skal drive forskning eller kunstnerisk utviklingsarbeid og faglig utviklingsarbeid innenfor studietilbudets fagområde. Fagmiljøet skal kunne vise til dokumenterte resultater av en kvalitet og i et omfang som er tilfredsstillende for studietilbudets innhold og nivå i samsvar med kvalifikasjonsrammeverkets nivå 6.</w:t>
      </w:r>
    </w:p>
    <w:p w14:paraId="51CC92E5" w14:textId="77777777" w:rsidR="007B2E75" w:rsidRPr="0082066E" w:rsidRDefault="007B2E75" w:rsidP="007B2E75"/>
    <w:p w14:paraId="302C3C00" w14:textId="77777777" w:rsidR="007B2E75" w:rsidRPr="0082066E" w:rsidRDefault="007B2E75" w:rsidP="007B2E75">
      <w:pPr>
        <w:spacing w:after="160" w:line="259" w:lineRule="auto"/>
      </w:pPr>
    </w:p>
    <w:p w14:paraId="2C06998D" w14:textId="77777777" w:rsidR="007B2E75" w:rsidRPr="00F77FDA" w:rsidRDefault="007B2E75" w:rsidP="007B2E75">
      <w:pPr>
        <w:rPr>
          <w:b/>
          <w:bCs/>
          <w:sz w:val="28"/>
          <w:szCs w:val="24"/>
        </w:rPr>
      </w:pPr>
      <w:r w:rsidRPr="00F77FDA">
        <w:rPr>
          <w:b/>
          <w:bCs/>
          <w:sz w:val="28"/>
          <w:szCs w:val="24"/>
        </w:rPr>
        <w:t>§</w:t>
      </w:r>
      <w:r>
        <w:rPr>
          <w:b/>
          <w:bCs/>
          <w:sz w:val="28"/>
          <w:szCs w:val="24"/>
        </w:rPr>
        <w:t xml:space="preserve"> </w:t>
      </w:r>
      <w:r w:rsidRPr="00F77FDA">
        <w:rPr>
          <w:b/>
          <w:bCs/>
          <w:sz w:val="28"/>
          <w:szCs w:val="24"/>
        </w:rPr>
        <w:t>1-14. Særskilte krav til studietilbud på høyere grad</w:t>
      </w:r>
    </w:p>
    <w:p w14:paraId="143D8FFD" w14:textId="77777777" w:rsidR="007B2E75" w:rsidRPr="001C7627" w:rsidRDefault="007B2E75" w:rsidP="007B2E75">
      <w:pPr>
        <w:rPr>
          <w:i/>
          <w:iCs/>
        </w:rPr>
      </w:pPr>
      <w:r w:rsidRPr="0082066E">
        <w:br/>
      </w:r>
      <w:r w:rsidRPr="001C7627">
        <w:rPr>
          <w:i/>
          <w:iCs/>
        </w:rPr>
        <w:t>Fagmiljøet skal være bredt og ha relevant, stabil og høy kompetanse innenfor utdanning, faglig utviklingsarbeid og forskning eller kunstnerisk utviklingsarbeid.</w:t>
      </w:r>
    </w:p>
    <w:p w14:paraId="18C9A79E" w14:textId="0C27C941" w:rsidR="007B2E75" w:rsidRPr="001C7627" w:rsidRDefault="007B2E75" w:rsidP="007B2E75">
      <w:pPr>
        <w:rPr>
          <w:i/>
          <w:iCs/>
          <w:strike/>
        </w:rPr>
      </w:pPr>
      <w:r w:rsidRPr="001C7627">
        <w:rPr>
          <w:i/>
          <w:iCs/>
        </w:rPr>
        <w:br/>
        <w:t xml:space="preserve">Innenfor studietilbudets fagområde skal minst 50 prosent av årsverkene i fagmiljøet ha førstestillingskompetanse og minst ti prosent av årsverkene ha professor- eller dosentkompetanse. </w:t>
      </w:r>
      <w:r w:rsidR="00B41B6D" w:rsidRPr="00B41B6D">
        <w:rPr>
          <w:i/>
          <w:iCs/>
        </w:rPr>
        <w:t>(… )</w:t>
      </w:r>
    </w:p>
    <w:p w14:paraId="0B300F8D" w14:textId="77777777" w:rsidR="007B2E75" w:rsidRDefault="007B2E75" w:rsidP="007B2E75">
      <w:pPr>
        <w:rPr>
          <w:color w:val="156082" w:themeColor="accent1"/>
        </w:rPr>
      </w:pPr>
      <w:r w:rsidRPr="001C7627">
        <w:rPr>
          <w:i/>
          <w:iCs/>
          <w:strike/>
        </w:rPr>
        <w:br/>
      </w:r>
      <w:r w:rsidRPr="001C7627">
        <w:rPr>
          <w:i/>
          <w:iCs/>
        </w:rPr>
        <w:t>Fagmiljøet skal drive forskning eller kunstnerisk utviklingsarbeid og faglig utviklingsarbeid innenfor studietilbudets fagområde. Fagmiljøet skal kunne vise til dokumenterte resultater på høyt nivå, av en kvalitet og i et omfang som er tilfredsstillende for studietilbudets innhold og</w:t>
      </w:r>
      <w:r w:rsidRPr="001C7627">
        <w:t xml:space="preserve"> </w:t>
      </w:r>
      <w:r w:rsidRPr="001C7627">
        <w:rPr>
          <w:i/>
          <w:iCs/>
        </w:rPr>
        <w:t>nivå i samsvar med kvalifikasjonsrammeverket nivå 7. Fagmiljøet skal kunne vise til resultater fra samarbeid med andre fagmiljøer nasjonalt og internasjonalt.</w:t>
      </w:r>
    </w:p>
    <w:p w14:paraId="4DD13BB6" w14:textId="77777777" w:rsidR="007B2E75" w:rsidRPr="00487B56" w:rsidRDefault="007B2E75" w:rsidP="007B2E75">
      <w:pPr>
        <w:rPr>
          <w:color w:val="156082" w:themeColor="accent1"/>
        </w:rPr>
      </w:pPr>
    </w:p>
    <w:p w14:paraId="6EEC8464" w14:textId="77777777" w:rsidR="007B2E75" w:rsidRPr="0082066E" w:rsidRDefault="007B2E75" w:rsidP="007B2E75"/>
    <w:p w14:paraId="029FD0EA" w14:textId="77777777" w:rsidR="007B2E75" w:rsidRPr="0082066E" w:rsidRDefault="007B2E75" w:rsidP="007B2E75">
      <w:pPr>
        <w:rPr>
          <w:b/>
          <w:bCs/>
        </w:rPr>
      </w:pPr>
      <w:r w:rsidRPr="0082066E">
        <w:rPr>
          <w:b/>
          <w:bCs/>
        </w:rPr>
        <w:t>§</w:t>
      </w:r>
      <w:r>
        <w:rPr>
          <w:b/>
          <w:bCs/>
        </w:rPr>
        <w:t xml:space="preserve"> </w:t>
      </w:r>
      <w:r w:rsidRPr="0082066E">
        <w:rPr>
          <w:b/>
          <w:bCs/>
        </w:rPr>
        <w:t>1-15. Særskilte krav til doktorgradsutdanninger</w:t>
      </w:r>
    </w:p>
    <w:p w14:paraId="481E59BA" w14:textId="77777777" w:rsidR="007B2E75" w:rsidRPr="001C7627" w:rsidRDefault="007B2E75" w:rsidP="007B2E75">
      <w:pPr>
        <w:rPr>
          <w:i/>
          <w:iCs/>
        </w:rPr>
      </w:pPr>
      <w:r w:rsidRPr="0082066E">
        <w:br/>
      </w:r>
      <w:r w:rsidRPr="001C7627">
        <w:rPr>
          <w:i/>
          <w:iCs/>
        </w:rPr>
        <w:t xml:space="preserve">På fagområdet for doktorgradsutdanningen skal institusjonen tilby utdanning og forskning eller kunstnerisk utviklingsarbeid av en kvalitet og i et omfang som sikrer at doktorgradsutdanningen kan gjennomføres på høyt vitenskapelig eller kunstnerisk nivå. </w:t>
      </w:r>
      <w:r w:rsidRPr="001C7627">
        <w:rPr>
          <w:i/>
          <w:iCs/>
        </w:rPr>
        <w:br/>
      </w:r>
      <w:r w:rsidRPr="001C7627">
        <w:rPr>
          <w:i/>
          <w:iCs/>
        </w:rPr>
        <w:br/>
        <w:t>Institusjonen skal ha bredde i studietilbudene på lavere og høyere grads nivå innenfor fagområdet for doktorgradsutdanningen.</w:t>
      </w:r>
    </w:p>
    <w:p w14:paraId="4F6521AB" w14:textId="77777777" w:rsidR="007B2E75" w:rsidRPr="001C7627" w:rsidRDefault="007B2E75" w:rsidP="007B2E75">
      <w:pPr>
        <w:rPr>
          <w:i/>
          <w:iCs/>
        </w:rPr>
      </w:pPr>
      <w:r w:rsidRPr="001C7627">
        <w:rPr>
          <w:i/>
          <w:iCs/>
        </w:rPr>
        <w:br/>
        <w:t>Fagområdet for doktorgradsutdanningen skal utgjøre en vitenskapelig eller kunstnerisk helhet, og det skal være sammenheng mellom de enkelte delene studiet er satt sammen av.</w:t>
      </w:r>
    </w:p>
    <w:p w14:paraId="75C97994" w14:textId="77777777" w:rsidR="007B2E75" w:rsidRPr="001C7627" w:rsidRDefault="007B2E75" w:rsidP="007B2E75">
      <w:pPr>
        <w:rPr>
          <w:i/>
          <w:iCs/>
        </w:rPr>
      </w:pPr>
      <w:r w:rsidRPr="001C7627">
        <w:rPr>
          <w:i/>
          <w:iCs/>
        </w:rPr>
        <w:br/>
        <w:t>Doktorgradsutdanningen for ph.d.-graden skal ha et fagmiljø med høy faglig kompetanse innenfor utdanning, forskning og faglig utviklingsarbeid innenfor fagområdet for doktorgradsutdanningen. Fagmiljøet skal kunne vise til dokumenterte forskningsresultater av en kvalitet og i et omfang som er tilfredsstillende for doktorgradsutdanningens innhold og nivå i samsvar med kvalifikasjonsrammeverket nivå 8. Fagmiljøet skal kunne vise til publisering på høyt, internasjonalt nivå, og til resultater fra samarbeid med andre fagmiljøer nasjonalt og internasjonalt.</w:t>
      </w:r>
    </w:p>
    <w:p w14:paraId="4D4A2883" w14:textId="17F6CBA6" w:rsidR="007B2E75" w:rsidRPr="00B41B6D" w:rsidRDefault="007B2E75" w:rsidP="007B2E75">
      <w:pPr>
        <w:rPr>
          <w:i/>
          <w:iCs/>
        </w:rPr>
      </w:pPr>
      <w:r w:rsidRPr="001C7627">
        <w:rPr>
          <w:i/>
          <w:iCs/>
          <w:strike/>
        </w:rPr>
        <w:br/>
      </w:r>
      <w:r w:rsidR="00B41B6D" w:rsidRPr="00B41B6D">
        <w:rPr>
          <w:i/>
          <w:iCs/>
        </w:rPr>
        <w:t>(…)</w:t>
      </w:r>
    </w:p>
    <w:p w14:paraId="31010C46" w14:textId="77777777" w:rsidR="007B2E75" w:rsidRPr="001C7627" w:rsidRDefault="007B2E75" w:rsidP="007B2E75">
      <w:pPr>
        <w:rPr>
          <w:i/>
          <w:iCs/>
        </w:rPr>
      </w:pPr>
    </w:p>
    <w:p w14:paraId="10409560" w14:textId="77777777" w:rsidR="007B2E75" w:rsidRPr="001C7627" w:rsidRDefault="007B2E75" w:rsidP="007B2E75">
      <w:pPr>
        <w:rPr>
          <w:i/>
          <w:iCs/>
        </w:rPr>
      </w:pPr>
      <w:r w:rsidRPr="001C7627">
        <w:rPr>
          <w:i/>
          <w:iCs/>
        </w:rPr>
        <w:t>Fagmiljøet skal ha dybde og bredde innenfor alle vesentlige deler av doktorgradsutdanningen slik at doktorgradskandidatene kan delta aktivt i ulike faglige relasjoner og få innføring i ulike perspektiver.</w:t>
      </w:r>
    </w:p>
    <w:p w14:paraId="18AF4358" w14:textId="77777777" w:rsidR="007B2E75" w:rsidRPr="001C7627" w:rsidRDefault="007B2E75" w:rsidP="007B2E75">
      <w:pPr>
        <w:rPr>
          <w:i/>
          <w:iCs/>
        </w:rPr>
      </w:pPr>
      <w:r w:rsidRPr="001C7627">
        <w:rPr>
          <w:i/>
          <w:iCs/>
        </w:rPr>
        <w:br/>
        <w:t>Fagmiljøet skal være stabilt og bestå av et tilstrekkelig antall ansatte med professor- og førsteamanuensiskompetanse innenfor hele bredden av studietilbudet. Fagmiljøet skal bestå av ansatte med førstestillingskompetanse innenfor doktorgradsområdet, og minst 50 prosent av årsverkene skal ha professorkompetanse.</w:t>
      </w:r>
    </w:p>
    <w:p w14:paraId="16B734AE" w14:textId="77777777" w:rsidR="007B2E75" w:rsidRPr="001C7627" w:rsidRDefault="007B2E75" w:rsidP="007B2E75">
      <w:pPr>
        <w:rPr>
          <w:i/>
          <w:iCs/>
        </w:rPr>
      </w:pPr>
      <w:r w:rsidRPr="001C7627">
        <w:rPr>
          <w:i/>
          <w:iCs/>
        </w:rPr>
        <w:br/>
        <w:t>Institusjonen skal dokumentere at den har kapasitet og rekrutteringspotensial til å ta opp minst 15 stipendiater til doktorgradsutdanningen i løpet av fem år etter oppstart. Institusjonen skal i tillegg sannsynliggjøre at den over tid kan opprettholde et doktorgradsmiljø med minst 15 stipendiater. Doktorgradskandidater tilknyttet gjennom ordningene nærings-ph.d. og offentlig sektor-ph.d. kan inngå i beregningen av antallet stipendiater. Minst åtte av stipendiatene skal ha hovedarbeidsplass ved institusjonen.</w:t>
      </w:r>
    </w:p>
    <w:p w14:paraId="0D6CA30C" w14:textId="2F293AB9" w:rsidR="007B2E75" w:rsidRPr="00B41B6D" w:rsidRDefault="00B41B6D" w:rsidP="007B2E75">
      <w:r w:rsidRPr="00B41B6D">
        <w:rPr>
          <w:i/>
          <w:iCs/>
        </w:rPr>
        <w:t>(…)</w:t>
      </w:r>
    </w:p>
    <w:p w14:paraId="443A1DA4" w14:textId="3FB3CCE5" w:rsidR="007C2C48" w:rsidRPr="007C2C48" w:rsidRDefault="007C2C48" w:rsidP="004912E4">
      <w:pPr>
        <w:rPr>
          <w:bCs/>
          <w:sz w:val="22"/>
          <w:szCs w:val="20"/>
        </w:rPr>
        <w:sectPr w:rsidR="007C2C48" w:rsidRPr="007C2C4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C2C48">
        <w:br/>
      </w:r>
    </w:p>
    <w:p w14:paraId="0DA9511F" w14:textId="7FF57F14" w:rsidR="00682296" w:rsidRPr="00B35BA9" w:rsidRDefault="007C2C48">
      <w:pPr>
        <w:rPr>
          <w:b/>
          <w:sz w:val="28"/>
          <w:szCs w:val="24"/>
        </w:rPr>
      </w:pPr>
      <w:r w:rsidRPr="00B35BA9">
        <w:rPr>
          <w:b/>
          <w:sz w:val="28"/>
          <w:szCs w:val="24"/>
        </w:rPr>
        <w:t>Tabell 1. Oversikt over planlagte emner</w:t>
      </w:r>
      <w:r w:rsidR="00B35BA9" w:rsidRPr="00B35BA9">
        <w:rPr>
          <w:b/>
          <w:sz w:val="28"/>
          <w:szCs w:val="24"/>
        </w:rPr>
        <w:t xml:space="preserve">; </w:t>
      </w:r>
      <w:r w:rsidRPr="00B35BA9">
        <w:rPr>
          <w:b/>
          <w:sz w:val="28"/>
          <w:szCs w:val="24"/>
        </w:rPr>
        <w:t>obligatoriske og valgfrie</w:t>
      </w:r>
      <w:r w:rsidR="00132DEE" w:rsidRPr="00B35BA9">
        <w:rPr>
          <w:b/>
          <w:sz w:val="28"/>
          <w:szCs w:val="24"/>
        </w:rPr>
        <w:t xml:space="preserve"> </w:t>
      </w:r>
    </w:p>
    <w:p w14:paraId="4312EDFD" w14:textId="77777777" w:rsidR="007C2C48" w:rsidRPr="00132DEE" w:rsidRDefault="007C2C48">
      <w:pPr>
        <w:rPr>
          <w:b/>
          <w:sz w:val="22"/>
          <w:szCs w:val="20"/>
          <w:lang w:val="nn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0"/>
        <w:gridCol w:w="10315"/>
        <w:gridCol w:w="1129"/>
        <w:gridCol w:w="1240"/>
      </w:tblGrid>
      <w:tr w:rsidR="007C2C48" w:rsidRPr="007C2C48" w14:paraId="59B66851" w14:textId="77777777" w:rsidTr="007C2C48">
        <w:tc>
          <w:tcPr>
            <w:tcW w:w="1310" w:type="dxa"/>
            <w:shd w:val="clear" w:color="auto" w:fill="F2F2F2" w:themeFill="background1" w:themeFillShade="F2"/>
          </w:tcPr>
          <w:p w14:paraId="6E34070D" w14:textId="41BE4DEE" w:rsidR="007C2C48" w:rsidRPr="007C2C48" w:rsidRDefault="007C2C48">
            <w:pPr>
              <w:rPr>
                <w:b/>
              </w:rPr>
            </w:pPr>
            <w:r w:rsidRPr="007C2C48">
              <w:rPr>
                <w:b/>
              </w:rPr>
              <w:t>Emnekode</w:t>
            </w:r>
          </w:p>
        </w:tc>
        <w:tc>
          <w:tcPr>
            <w:tcW w:w="10315" w:type="dxa"/>
            <w:shd w:val="clear" w:color="auto" w:fill="F2F2F2" w:themeFill="background1" w:themeFillShade="F2"/>
          </w:tcPr>
          <w:p w14:paraId="5CFF6832" w14:textId="1A3A31CC" w:rsidR="007C2C48" w:rsidRPr="007C2C48" w:rsidRDefault="007C2C48">
            <w:pPr>
              <w:rPr>
                <w:b/>
              </w:rPr>
            </w:pPr>
            <w:r w:rsidRPr="007C2C48">
              <w:rPr>
                <w:b/>
              </w:rPr>
              <w:t>Emnenavn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4D4D2459" w14:textId="71529028" w:rsidR="007C2C48" w:rsidRPr="007C2C48" w:rsidRDefault="007C2C48">
            <w:pPr>
              <w:rPr>
                <w:b/>
              </w:rPr>
            </w:pPr>
            <w:r w:rsidRPr="007C2C48">
              <w:rPr>
                <w:b/>
              </w:rPr>
              <w:t>Ant stp.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14:paraId="23785089" w14:textId="772E9349" w:rsidR="007C2C48" w:rsidRPr="007C2C48" w:rsidRDefault="007C2C48">
            <w:pPr>
              <w:rPr>
                <w:b/>
              </w:rPr>
            </w:pPr>
            <w:r w:rsidRPr="007C2C48">
              <w:rPr>
                <w:b/>
              </w:rPr>
              <w:t>Semester</w:t>
            </w:r>
          </w:p>
        </w:tc>
      </w:tr>
      <w:tr w:rsidR="007C2C48" w:rsidRPr="007C2C48" w14:paraId="29314A1B" w14:textId="77777777" w:rsidTr="004D1D76">
        <w:tc>
          <w:tcPr>
            <w:tcW w:w="13994" w:type="dxa"/>
            <w:gridSpan w:val="4"/>
          </w:tcPr>
          <w:p w14:paraId="3194814E" w14:textId="0F016B1C" w:rsidR="007C2C48" w:rsidRPr="007C2C48" w:rsidRDefault="007C2C48">
            <w:pPr>
              <w:rPr>
                <w:b/>
                <w:i/>
                <w:iCs/>
                <w:sz w:val="22"/>
                <w:szCs w:val="20"/>
              </w:rPr>
            </w:pPr>
            <w:r w:rsidRPr="007C2C48">
              <w:rPr>
                <w:b/>
                <w:i/>
                <w:iCs/>
                <w:sz w:val="22"/>
                <w:szCs w:val="20"/>
              </w:rPr>
              <w:t>Obligatoriske emner</w:t>
            </w:r>
          </w:p>
        </w:tc>
      </w:tr>
      <w:tr w:rsidR="007C2C48" w:rsidRPr="007C2C48" w14:paraId="11C30E44" w14:textId="77777777" w:rsidTr="007C2C48">
        <w:tc>
          <w:tcPr>
            <w:tcW w:w="1310" w:type="dxa"/>
          </w:tcPr>
          <w:p w14:paraId="24EABDCD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5C803338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3D39CBB4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6D48827E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7C2C48" w14:paraId="105BC021" w14:textId="77777777" w:rsidTr="007C2C48">
        <w:tc>
          <w:tcPr>
            <w:tcW w:w="1310" w:type="dxa"/>
          </w:tcPr>
          <w:p w14:paraId="36823471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3C22B44F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1A6C0BB3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3E099311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7C2C48" w14:paraId="18B502EB" w14:textId="77777777" w:rsidTr="007C2C48">
        <w:tc>
          <w:tcPr>
            <w:tcW w:w="1310" w:type="dxa"/>
          </w:tcPr>
          <w:p w14:paraId="2525123B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1A392F10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1ECF332F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0DEB58A9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7C2C48" w14:paraId="3810EC79" w14:textId="77777777" w:rsidTr="007C2C48">
        <w:tc>
          <w:tcPr>
            <w:tcW w:w="1310" w:type="dxa"/>
          </w:tcPr>
          <w:p w14:paraId="374EBB0B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626A714E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2889B526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45F7374A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7C2C48" w14:paraId="26910657" w14:textId="77777777" w:rsidTr="007C2C48">
        <w:tc>
          <w:tcPr>
            <w:tcW w:w="1310" w:type="dxa"/>
          </w:tcPr>
          <w:p w14:paraId="433BFD06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6F66B11C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51A56885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51A79F24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7C2C48" w14:paraId="0FB9DF10" w14:textId="77777777" w:rsidTr="007C2C48">
        <w:tc>
          <w:tcPr>
            <w:tcW w:w="1310" w:type="dxa"/>
          </w:tcPr>
          <w:p w14:paraId="6A37F8FB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0057989E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3B869A4C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35DA3898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7C2C48" w14:paraId="18208789" w14:textId="77777777" w:rsidTr="000936CA">
        <w:tc>
          <w:tcPr>
            <w:tcW w:w="13994" w:type="dxa"/>
            <w:gridSpan w:val="4"/>
          </w:tcPr>
          <w:p w14:paraId="461B15CF" w14:textId="4C8F072F" w:rsidR="007C2C48" w:rsidRPr="007C2C48" w:rsidRDefault="007C2C48">
            <w:pPr>
              <w:rPr>
                <w:b/>
                <w:i/>
                <w:iCs/>
                <w:sz w:val="22"/>
                <w:szCs w:val="20"/>
              </w:rPr>
            </w:pPr>
            <w:r w:rsidRPr="007C2C48">
              <w:rPr>
                <w:b/>
                <w:i/>
                <w:iCs/>
                <w:sz w:val="22"/>
                <w:szCs w:val="20"/>
              </w:rPr>
              <w:t>Valgfrie emner</w:t>
            </w:r>
          </w:p>
        </w:tc>
      </w:tr>
      <w:tr w:rsidR="007C2C48" w:rsidRPr="007C2C48" w14:paraId="38987DBC" w14:textId="77777777" w:rsidTr="007C2C48">
        <w:tc>
          <w:tcPr>
            <w:tcW w:w="1310" w:type="dxa"/>
          </w:tcPr>
          <w:p w14:paraId="14741268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43F2D9DA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569C5144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45E68C13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7C2C48" w14:paraId="3F1EF83A" w14:textId="77777777" w:rsidTr="007C2C48">
        <w:tc>
          <w:tcPr>
            <w:tcW w:w="1310" w:type="dxa"/>
          </w:tcPr>
          <w:p w14:paraId="4A970E25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20067104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322A7C8C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22F8D563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7C2C48" w14:paraId="3A25234D" w14:textId="77777777" w:rsidTr="007C2C48">
        <w:tc>
          <w:tcPr>
            <w:tcW w:w="1310" w:type="dxa"/>
          </w:tcPr>
          <w:p w14:paraId="3C5F5B2E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3139CC0D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1155EE7C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28AAC3C5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7C2C48" w14:paraId="0386582C" w14:textId="77777777" w:rsidTr="007C2C48">
        <w:tc>
          <w:tcPr>
            <w:tcW w:w="1310" w:type="dxa"/>
          </w:tcPr>
          <w:p w14:paraId="453FCD28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3BAE3ECA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26AB9B42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206FFE95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7C2C48" w14:paraId="5B867EA5" w14:textId="77777777" w:rsidTr="007C2C48">
        <w:tc>
          <w:tcPr>
            <w:tcW w:w="1310" w:type="dxa"/>
          </w:tcPr>
          <w:p w14:paraId="5E683672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5EFDA23B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4345A413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61B4434B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7C2C48" w14:paraId="52DE6B68" w14:textId="77777777" w:rsidTr="007C2C48">
        <w:tc>
          <w:tcPr>
            <w:tcW w:w="1310" w:type="dxa"/>
          </w:tcPr>
          <w:p w14:paraId="29FBE43D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3F6FBC7F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3C9F20CA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3FB9B841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</w:tr>
    </w:tbl>
    <w:p w14:paraId="78CF4109" w14:textId="42D1CED7" w:rsidR="007C2C48" w:rsidRPr="007C2C48" w:rsidRDefault="007C2C48">
      <w:pPr>
        <w:rPr>
          <w:b/>
          <w:sz w:val="22"/>
          <w:szCs w:val="20"/>
        </w:rPr>
      </w:pPr>
    </w:p>
    <w:p w14:paraId="05F8F536" w14:textId="77777777" w:rsidR="007C2C48" w:rsidRPr="007C2C48" w:rsidRDefault="007C2C48">
      <w:pPr>
        <w:spacing w:after="160" w:line="259" w:lineRule="auto"/>
        <w:rPr>
          <w:b/>
          <w:sz w:val="22"/>
          <w:szCs w:val="20"/>
        </w:rPr>
      </w:pPr>
      <w:r w:rsidRPr="007C2C48">
        <w:rPr>
          <w:b/>
          <w:sz w:val="22"/>
          <w:szCs w:val="20"/>
        </w:rPr>
        <w:br w:type="page"/>
      </w:r>
    </w:p>
    <w:p w14:paraId="34DAA3FC" w14:textId="21BEE200" w:rsidR="007C2C48" w:rsidRPr="00B35BA9" w:rsidRDefault="007C2C48">
      <w:pPr>
        <w:rPr>
          <w:bCs/>
          <w:sz w:val="22"/>
        </w:rPr>
      </w:pPr>
      <w:r w:rsidRPr="00CD2A2C">
        <w:rPr>
          <w:b/>
          <w:sz w:val="28"/>
          <w:szCs w:val="24"/>
        </w:rPr>
        <w:t>Tabell 2. Oversikt over kobling mellom obligatoriske emner og læringsutbytte</w:t>
      </w:r>
      <w:r w:rsidR="00B35BA9">
        <w:rPr>
          <w:b/>
          <w:sz w:val="28"/>
          <w:szCs w:val="24"/>
        </w:rPr>
        <w:t>ne</w:t>
      </w:r>
      <w:r w:rsidRPr="00CD2A2C">
        <w:rPr>
          <w:b/>
          <w:sz w:val="28"/>
          <w:szCs w:val="24"/>
        </w:rPr>
        <w:t xml:space="preserve"> </w:t>
      </w:r>
      <w:r w:rsidR="00B35BA9">
        <w:rPr>
          <w:b/>
          <w:sz w:val="28"/>
          <w:szCs w:val="24"/>
        </w:rPr>
        <w:t>(mapping)</w:t>
      </w:r>
      <w:r w:rsidR="00CD2A2C">
        <w:rPr>
          <w:b/>
          <w:sz w:val="28"/>
          <w:szCs w:val="24"/>
        </w:rPr>
        <w:br/>
      </w:r>
      <w:r w:rsidR="00CD2A2C" w:rsidRPr="00B35BA9">
        <w:rPr>
          <w:bCs/>
          <w:sz w:val="22"/>
        </w:rPr>
        <w:t>Tabellen skal vise hvordan de enkelte emnene bidrar til at studenten oppnår det totale læringsutbytte</w:t>
      </w:r>
      <w:r w:rsidR="00B35BA9">
        <w:rPr>
          <w:bCs/>
          <w:sz w:val="22"/>
        </w:rPr>
        <w:t>t</w:t>
      </w:r>
      <w:r w:rsidR="00CD2A2C" w:rsidRPr="00B35BA9">
        <w:rPr>
          <w:bCs/>
          <w:sz w:val="22"/>
        </w:rPr>
        <w:t>. Ett og samme emne kan bidra inn i flere læringsutbytter.</w:t>
      </w:r>
    </w:p>
    <w:p w14:paraId="3A9F0728" w14:textId="3866CDDB" w:rsidR="00A13F7C" w:rsidRPr="00B35BA9" w:rsidRDefault="00A13F7C" w:rsidP="00A13F7C">
      <w:pPr>
        <w:rPr>
          <w:bCs/>
          <w:sz w:val="22"/>
        </w:rPr>
      </w:pPr>
      <w:r w:rsidRPr="00B35BA9">
        <w:rPr>
          <w:bCs/>
          <w:sz w:val="22"/>
        </w:rPr>
        <w:t>Juster tabellen slik at den tilpasses antall læringsutbytter og antall emner i studieprogrammet</w:t>
      </w:r>
      <w:r w:rsidR="00B35BA9">
        <w:rPr>
          <w:bCs/>
          <w:sz w:val="22"/>
        </w:rPr>
        <w:t>. S</w:t>
      </w:r>
      <w:r w:rsidRPr="00B35BA9">
        <w:rPr>
          <w:bCs/>
          <w:sz w:val="22"/>
        </w:rPr>
        <w:t xml:space="preserve">ett kryss.  </w:t>
      </w:r>
    </w:p>
    <w:p w14:paraId="1A5D192F" w14:textId="613DA470" w:rsidR="00CD2A2C" w:rsidRDefault="00CD2A2C">
      <w:pPr>
        <w:rPr>
          <w:bCs/>
          <w:sz w:val="22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82"/>
        <w:gridCol w:w="629"/>
        <w:gridCol w:w="629"/>
        <w:gridCol w:w="629"/>
        <w:gridCol w:w="629"/>
        <w:gridCol w:w="629"/>
        <w:gridCol w:w="629"/>
        <w:gridCol w:w="630"/>
        <w:gridCol w:w="629"/>
        <w:gridCol w:w="629"/>
        <w:gridCol w:w="629"/>
        <w:gridCol w:w="629"/>
        <w:gridCol w:w="629"/>
        <w:gridCol w:w="629"/>
        <w:gridCol w:w="630"/>
        <w:gridCol w:w="629"/>
        <w:gridCol w:w="629"/>
        <w:gridCol w:w="629"/>
        <w:gridCol w:w="629"/>
        <w:gridCol w:w="629"/>
        <w:gridCol w:w="629"/>
        <w:gridCol w:w="630"/>
      </w:tblGrid>
      <w:tr w:rsidR="00C67CE7" w14:paraId="3A0DD299" w14:textId="77777777" w:rsidTr="00A13F7C">
        <w:tc>
          <w:tcPr>
            <w:tcW w:w="782" w:type="dxa"/>
            <w:shd w:val="clear" w:color="auto" w:fill="156082" w:themeFill="accent1"/>
          </w:tcPr>
          <w:p w14:paraId="48D85562" w14:textId="77777777" w:rsidR="00C67CE7" w:rsidRPr="00C67CE7" w:rsidRDefault="00C67CE7">
            <w:pPr>
              <w:rPr>
                <w:b/>
                <w:sz w:val="20"/>
                <w:szCs w:val="20"/>
              </w:rPr>
            </w:pPr>
          </w:p>
        </w:tc>
        <w:tc>
          <w:tcPr>
            <w:tcW w:w="13212" w:type="dxa"/>
            <w:gridSpan w:val="21"/>
            <w:shd w:val="clear" w:color="auto" w:fill="F2F2F2" w:themeFill="background1" w:themeFillShade="F2"/>
          </w:tcPr>
          <w:p w14:paraId="5CE78CB5" w14:textId="6FA96389" w:rsidR="00C67CE7" w:rsidRDefault="00C67CE7" w:rsidP="00C67CE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Emner (emnekode)</w:t>
            </w:r>
          </w:p>
        </w:tc>
      </w:tr>
      <w:tr w:rsidR="00C67CE7" w14:paraId="0B83317E" w14:textId="77777777" w:rsidTr="00A13F7C">
        <w:trPr>
          <w:cantSplit/>
          <w:trHeight w:val="854"/>
        </w:trPr>
        <w:tc>
          <w:tcPr>
            <w:tcW w:w="782" w:type="dxa"/>
            <w:shd w:val="clear" w:color="auto" w:fill="F2F2F2" w:themeFill="background1" w:themeFillShade="F2"/>
          </w:tcPr>
          <w:p w14:paraId="3967E605" w14:textId="5743D0CE" w:rsidR="00C67CE7" w:rsidRPr="00C67CE7" w:rsidRDefault="00C67CE7" w:rsidP="00A13F7C">
            <w:pPr>
              <w:rPr>
                <w:b/>
                <w:sz w:val="20"/>
                <w:szCs w:val="20"/>
              </w:rPr>
            </w:pPr>
            <w:r w:rsidRPr="00C67CE7">
              <w:rPr>
                <w:b/>
                <w:sz w:val="20"/>
                <w:szCs w:val="20"/>
              </w:rPr>
              <w:t>LUB</w:t>
            </w:r>
          </w:p>
        </w:tc>
        <w:tc>
          <w:tcPr>
            <w:tcW w:w="629" w:type="dxa"/>
            <w:textDirection w:val="tbRl"/>
          </w:tcPr>
          <w:p w14:paraId="4961A489" w14:textId="4A2D469A" w:rsidR="00C67CE7" w:rsidRDefault="00C67CE7" w:rsidP="00A13F7C">
            <w:pPr>
              <w:ind w:left="113" w:right="113"/>
              <w:rPr>
                <w:b/>
                <w:sz w:val="22"/>
              </w:rPr>
            </w:pPr>
            <w:r>
              <w:rPr>
                <w:b/>
                <w:sz w:val="22"/>
              </w:rPr>
              <w:t>Emne</w:t>
            </w:r>
          </w:p>
        </w:tc>
        <w:tc>
          <w:tcPr>
            <w:tcW w:w="629" w:type="dxa"/>
            <w:textDirection w:val="tbRl"/>
          </w:tcPr>
          <w:p w14:paraId="4991BFB2" w14:textId="75FC3F30" w:rsidR="00C67CE7" w:rsidRDefault="00C67CE7" w:rsidP="00A13F7C">
            <w:pPr>
              <w:ind w:left="113" w:right="113"/>
              <w:rPr>
                <w:b/>
                <w:sz w:val="22"/>
              </w:rPr>
            </w:pPr>
            <w:r>
              <w:rPr>
                <w:b/>
                <w:sz w:val="22"/>
              </w:rPr>
              <w:t>Emne</w:t>
            </w:r>
          </w:p>
        </w:tc>
        <w:tc>
          <w:tcPr>
            <w:tcW w:w="629" w:type="dxa"/>
            <w:textDirection w:val="tbRl"/>
          </w:tcPr>
          <w:p w14:paraId="5199AB58" w14:textId="3379251E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68CA0D30" w14:textId="63C682ED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1B36FA29" w14:textId="1B3C064A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5532A513" w14:textId="50384EE1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30" w:type="dxa"/>
            <w:textDirection w:val="tbRl"/>
          </w:tcPr>
          <w:p w14:paraId="31652D37" w14:textId="739278D6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74050175" w14:textId="389E7116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585CBC39" w14:textId="28EF00F8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798E9ABF" w14:textId="5D95D6C2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3A32D996" w14:textId="489E3CC8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645377D1" w14:textId="225F39A3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336B1C91" w14:textId="12A879C0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30" w:type="dxa"/>
            <w:textDirection w:val="tbRl"/>
          </w:tcPr>
          <w:p w14:paraId="1C270FBB" w14:textId="7F6A7DDA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081A0284" w14:textId="2D832B76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61F00D81" w14:textId="5333DFB5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5142F6D6" w14:textId="77777777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11045BF1" w14:textId="77777777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6F47EB1D" w14:textId="77777777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3513AB13" w14:textId="77777777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30" w:type="dxa"/>
            <w:textDirection w:val="tbRl"/>
          </w:tcPr>
          <w:p w14:paraId="4E96D556" w14:textId="77777777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</w:tr>
      <w:tr w:rsidR="00C67CE7" w14:paraId="7B96C161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3F54FF10" w14:textId="3F5A21A9" w:rsidR="00C67CE7" w:rsidRPr="00C67CE7" w:rsidRDefault="00C67CE7">
            <w:pPr>
              <w:rPr>
                <w:b/>
                <w:sz w:val="20"/>
                <w:szCs w:val="20"/>
              </w:rPr>
            </w:pPr>
            <w:r w:rsidRPr="00C67CE7">
              <w:rPr>
                <w:b/>
                <w:sz w:val="20"/>
                <w:szCs w:val="20"/>
              </w:rPr>
              <w:t>K1</w:t>
            </w:r>
          </w:p>
        </w:tc>
        <w:tc>
          <w:tcPr>
            <w:tcW w:w="629" w:type="dxa"/>
          </w:tcPr>
          <w:p w14:paraId="7AB8AFB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7640DEC" w14:textId="41F1F7B5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9E629FE" w14:textId="7773FAA9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1DF76B7" w14:textId="0F4F225E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C8B38F6" w14:textId="2A68CF25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7C682BB" w14:textId="2727CA5E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1F8D299D" w14:textId="12F3A325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4E97037" w14:textId="118467C2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B7FEF57" w14:textId="7F15DDC3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3D3130E" w14:textId="78ADB830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9DE8429" w14:textId="6ED38646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631DC6B" w14:textId="4BD2323F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D0BF50A" w14:textId="71286830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9E9FDFA" w14:textId="2F33B0A2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6DAC594" w14:textId="219345D0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AC9ED97" w14:textId="68DF3AAC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FAC9F75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C6E310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A5BDE8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1753DC7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39CFFFD8" w14:textId="77777777" w:rsidR="00C67CE7" w:rsidRDefault="00C67CE7">
            <w:pPr>
              <w:rPr>
                <w:b/>
                <w:sz w:val="22"/>
              </w:rPr>
            </w:pPr>
          </w:p>
        </w:tc>
      </w:tr>
      <w:tr w:rsidR="00C67CE7" w14:paraId="52DDC30F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6185A41E" w14:textId="0BE818C5" w:rsidR="00C67CE7" w:rsidRPr="00C67CE7" w:rsidRDefault="00C67CE7">
            <w:pPr>
              <w:rPr>
                <w:b/>
                <w:sz w:val="20"/>
                <w:szCs w:val="20"/>
              </w:rPr>
            </w:pPr>
            <w:r w:rsidRPr="00C67CE7">
              <w:rPr>
                <w:b/>
                <w:sz w:val="20"/>
                <w:szCs w:val="20"/>
              </w:rPr>
              <w:t>K2</w:t>
            </w:r>
          </w:p>
        </w:tc>
        <w:tc>
          <w:tcPr>
            <w:tcW w:w="629" w:type="dxa"/>
          </w:tcPr>
          <w:p w14:paraId="43B5AD6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E77316D" w14:textId="1A3A254D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594CE35" w14:textId="1476D933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C4EF662" w14:textId="3DE5D7CE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7A48E09" w14:textId="44DA0DC4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0135CB0" w14:textId="441513C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6BEB972A" w14:textId="059213EF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DEF3467" w14:textId="05821EFE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74B0304" w14:textId="0A82908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B819CCD" w14:textId="360DB7A5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71ABA64" w14:textId="138EE205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E793127" w14:textId="4880FA9A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230B344" w14:textId="31E1CCC3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5D585663" w14:textId="7EC477B1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CCF24F1" w14:textId="10C12941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EF5F2BB" w14:textId="21DAAA9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C6DD5FD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CB70D8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58E938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9BDED84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664DD47E" w14:textId="77777777" w:rsidR="00C67CE7" w:rsidRDefault="00C67CE7">
            <w:pPr>
              <w:rPr>
                <w:b/>
                <w:sz w:val="22"/>
              </w:rPr>
            </w:pPr>
          </w:p>
        </w:tc>
      </w:tr>
      <w:tr w:rsidR="00C67CE7" w14:paraId="33B4B79A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2090F5C3" w14:textId="5B85A55F" w:rsidR="00C67CE7" w:rsidRPr="00C67CE7" w:rsidRDefault="00C67CE7">
            <w:pPr>
              <w:rPr>
                <w:b/>
                <w:sz w:val="20"/>
                <w:szCs w:val="20"/>
              </w:rPr>
            </w:pPr>
            <w:r w:rsidRPr="00C67CE7">
              <w:rPr>
                <w:b/>
                <w:sz w:val="20"/>
                <w:szCs w:val="20"/>
              </w:rPr>
              <w:t>K3</w:t>
            </w:r>
          </w:p>
        </w:tc>
        <w:tc>
          <w:tcPr>
            <w:tcW w:w="629" w:type="dxa"/>
          </w:tcPr>
          <w:p w14:paraId="0038A1B4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09A0735" w14:textId="2BCA0543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4F446B0" w14:textId="2DAFE968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1ABB42C" w14:textId="28B78EF6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C560C27" w14:textId="7C4F1A2A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B1BFCA7" w14:textId="7EE9D9D0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038FFE4" w14:textId="11D7B3DE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EEDFD0F" w14:textId="48131C7F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7B5DF13" w14:textId="6CBA3772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0C17B33" w14:textId="23BF94A2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995BE90" w14:textId="66694D25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B564FE2" w14:textId="776D5D00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8F800CD" w14:textId="4A5F769D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3F01C77F" w14:textId="315A1C2F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9F77F4A" w14:textId="20F70183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430EF1C" w14:textId="11C91356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4520AFF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A7C9C00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9796AC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202A97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0B2C0B28" w14:textId="77777777" w:rsidR="00C67CE7" w:rsidRDefault="00C67CE7">
            <w:pPr>
              <w:rPr>
                <w:b/>
                <w:sz w:val="22"/>
              </w:rPr>
            </w:pPr>
          </w:p>
        </w:tc>
      </w:tr>
      <w:tr w:rsidR="00C67CE7" w14:paraId="0FA8C4E5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36F46005" w14:textId="4C5C8A1B" w:rsidR="00C67CE7" w:rsidRPr="00C67CE7" w:rsidRDefault="00C67CE7">
            <w:pPr>
              <w:rPr>
                <w:b/>
                <w:sz w:val="20"/>
                <w:szCs w:val="20"/>
              </w:rPr>
            </w:pPr>
            <w:r w:rsidRPr="00C67CE7">
              <w:rPr>
                <w:b/>
                <w:sz w:val="20"/>
                <w:szCs w:val="20"/>
              </w:rPr>
              <w:t>K</w:t>
            </w:r>
            <w:r>
              <w:rPr>
                <w:b/>
                <w:sz w:val="20"/>
                <w:szCs w:val="20"/>
              </w:rPr>
              <w:t xml:space="preserve"> .</w:t>
            </w:r>
            <w:r w:rsidRPr="00C67CE7">
              <w:rPr>
                <w:b/>
                <w:sz w:val="20"/>
                <w:szCs w:val="20"/>
              </w:rPr>
              <w:t>..</w:t>
            </w:r>
          </w:p>
        </w:tc>
        <w:tc>
          <w:tcPr>
            <w:tcW w:w="629" w:type="dxa"/>
          </w:tcPr>
          <w:p w14:paraId="73EC386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26D1649" w14:textId="17A01903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0424FFF" w14:textId="40136095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F7E01F4" w14:textId="4A48A72D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3F99A17" w14:textId="332BB9A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BF6D69C" w14:textId="3C1D1D4B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15C254B9" w14:textId="1BB86491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F220936" w14:textId="45BD99CE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3E9C30B" w14:textId="4B1210F9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6266534" w14:textId="673B95AC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8BB0E1A" w14:textId="49A04FE8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A872FEE" w14:textId="40BC7400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889A81B" w14:textId="49436BB1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70F935F3" w14:textId="0D43AE7D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105CA0C" w14:textId="424F22DC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81467D2" w14:textId="56DB2ACC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1DFD27C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29AA7CE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2244BA0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575FF0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7AC5C1CD" w14:textId="77777777" w:rsidR="00C67CE7" w:rsidRDefault="00C67CE7">
            <w:pPr>
              <w:rPr>
                <w:b/>
                <w:sz w:val="22"/>
              </w:rPr>
            </w:pPr>
          </w:p>
        </w:tc>
      </w:tr>
      <w:tr w:rsidR="00C67CE7" w14:paraId="716EB86F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58963C90" w14:textId="77777777" w:rsidR="00C67CE7" w:rsidRPr="00C67CE7" w:rsidRDefault="00C67CE7">
            <w:pPr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14:paraId="73122E9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5548676" w14:textId="483D4F26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F4E78DE" w14:textId="6DFCC668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15AECC7" w14:textId="6B03E3FE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86C64E4" w14:textId="101DC6A9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F19B4A6" w14:textId="59994802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31AA246E" w14:textId="1793E089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0BC7ECA" w14:textId="5B38EB5D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058219A" w14:textId="27C80D8C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6A5FBEA" w14:textId="69EC7BD9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E2657F4" w14:textId="2A05414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1A8BC57" w14:textId="5B18B6B6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2D3637B" w14:textId="6F469400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09AC2143" w14:textId="54030493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528A4AB" w14:textId="239797ED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69E4312" w14:textId="46250474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07FCC7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1D3397C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F511E7E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60B9672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159788FB" w14:textId="77777777" w:rsidR="00C67CE7" w:rsidRDefault="00C67CE7">
            <w:pPr>
              <w:rPr>
                <w:b/>
                <w:sz w:val="22"/>
              </w:rPr>
            </w:pPr>
          </w:p>
        </w:tc>
      </w:tr>
      <w:tr w:rsidR="00C67CE7" w14:paraId="661FFE54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3DF3E728" w14:textId="6FC76C69" w:rsidR="00C67CE7" w:rsidRPr="00C67CE7" w:rsidRDefault="00C67CE7">
            <w:pPr>
              <w:rPr>
                <w:b/>
                <w:sz w:val="20"/>
                <w:szCs w:val="20"/>
              </w:rPr>
            </w:pPr>
            <w:r w:rsidRPr="00C67CE7">
              <w:rPr>
                <w:b/>
                <w:sz w:val="20"/>
                <w:szCs w:val="20"/>
              </w:rPr>
              <w:t>F1</w:t>
            </w:r>
          </w:p>
        </w:tc>
        <w:tc>
          <w:tcPr>
            <w:tcW w:w="629" w:type="dxa"/>
          </w:tcPr>
          <w:p w14:paraId="50F7C5C4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C6AE10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B4851F7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07D4AF1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1B0F411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C8FF4F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79B5517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C0322BD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F5884B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1E7B14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088BA00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854573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6A36C59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468033C0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F4E270A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43C7FC1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FFDCFC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718D5C5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ECD9D31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114243D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1CBEFDEC" w14:textId="77777777" w:rsidR="00C67CE7" w:rsidRDefault="00C67CE7">
            <w:pPr>
              <w:rPr>
                <w:b/>
                <w:sz w:val="22"/>
              </w:rPr>
            </w:pPr>
          </w:p>
        </w:tc>
      </w:tr>
      <w:tr w:rsidR="00C67CE7" w14:paraId="6E051EC3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12E11B57" w14:textId="4ACDBF90" w:rsidR="00C67CE7" w:rsidRPr="00C67CE7" w:rsidRDefault="00C67CE7">
            <w:pPr>
              <w:rPr>
                <w:b/>
                <w:sz w:val="20"/>
                <w:szCs w:val="20"/>
              </w:rPr>
            </w:pPr>
            <w:r w:rsidRPr="00C67CE7">
              <w:rPr>
                <w:b/>
                <w:sz w:val="20"/>
                <w:szCs w:val="20"/>
              </w:rPr>
              <w:t>F2</w:t>
            </w:r>
          </w:p>
        </w:tc>
        <w:tc>
          <w:tcPr>
            <w:tcW w:w="629" w:type="dxa"/>
          </w:tcPr>
          <w:p w14:paraId="60E29632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FA8E1D7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CECE19A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697AB62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396B1A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72A58D1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1E9E1B27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28456C0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A00C457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A79071D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0129E4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54EF337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0D574A1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37E7F7F7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9209067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15098CF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C030B6D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BDA205A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A17E8AC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245EF5E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0FFCBDAC" w14:textId="77777777" w:rsidR="00C67CE7" w:rsidRDefault="00C67CE7">
            <w:pPr>
              <w:rPr>
                <w:b/>
                <w:sz w:val="22"/>
              </w:rPr>
            </w:pPr>
          </w:p>
        </w:tc>
      </w:tr>
      <w:tr w:rsidR="00C67CE7" w14:paraId="6415404A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24D24EC9" w14:textId="33F8480B" w:rsidR="00C67CE7" w:rsidRPr="00C67CE7" w:rsidRDefault="00C67CE7">
            <w:pPr>
              <w:rPr>
                <w:b/>
                <w:sz w:val="20"/>
                <w:szCs w:val="20"/>
              </w:rPr>
            </w:pPr>
            <w:r w:rsidRPr="00C67CE7">
              <w:rPr>
                <w:b/>
                <w:sz w:val="20"/>
                <w:szCs w:val="20"/>
              </w:rPr>
              <w:t>F3</w:t>
            </w:r>
          </w:p>
        </w:tc>
        <w:tc>
          <w:tcPr>
            <w:tcW w:w="629" w:type="dxa"/>
          </w:tcPr>
          <w:p w14:paraId="33254A84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8A8671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F87E5F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B8D7A24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D9368E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B2C5E1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6022F2C5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7C85BEA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C7AEC8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2D0228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5C94CB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690E0BF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F0AD854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1E19D94C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0B1F6B9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653074D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A4BE49F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C8E84D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28A5D0E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120CA1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1F58C54" w14:textId="77777777" w:rsidR="00C67CE7" w:rsidRDefault="00C67CE7">
            <w:pPr>
              <w:rPr>
                <w:b/>
                <w:sz w:val="22"/>
              </w:rPr>
            </w:pPr>
          </w:p>
        </w:tc>
      </w:tr>
      <w:tr w:rsidR="00C67CE7" w14:paraId="6D5DCCEB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428E56CB" w14:textId="2E24C4BD" w:rsidR="00C67CE7" w:rsidRPr="00C67CE7" w:rsidRDefault="00C67CE7">
            <w:pPr>
              <w:rPr>
                <w:b/>
                <w:sz w:val="20"/>
                <w:szCs w:val="20"/>
              </w:rPr>
            </w:pPr>
            <w:r w:rsidRPr="00C67CE7">
              <w:rPr>
                <w:b/>
                <w:sz w:val="20"/>
                <w:szCs w:val="20"/>
              </w:rPr>
              <w:t>F</w:t>
            </w:r>
            <w:r>
              <w:rPr>
                <w:b/>
                <w:sz w:val="20"/>
                <w:szCs w:val="20"/>
              </w:rPr>
              <w:t xml:space="preserve"> .</w:t>
            </w:r>
            <w:r w:rsidRPr="00C67CE7">
              <w:rPr>
                <w:b/>
                <w:sz w:val="20"/>
                <w:szCs w:val="20"/>
              </w:rPr>
              <w:t>..</w:t>
            </w:r>
          </w:p>
        </w:tc>
        <w:tc>
          <w:tcPr>
            <w:tcW w:w="629" w:type="dxa"/>
          </w:tcPr>
          <w:p w14:paraId="69A48D0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8C312DE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EB7B9E0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9627715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17F16A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394DD1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0F2555C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BC15F0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467304A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5B448D2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05A742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9262002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6A6B689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34B56469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DD9E44A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B17C40D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9C8E00A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A47DE1D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220C964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EDAC669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09FA961F" w14:textId="77777777" w:rsidR="00C67CE7" w:rsidRDefault="00C67CE7">
            <w:pPr>
              <w:rPr>
                <w:b/>
                <w:sz w:val="22"/>
              </w:rPr>
            </w:pPr>
          </w:p>
        </w:tc>
      </w:tr>
      <w:tr w:rsidR="00C67CE7" w14:paraId="1E3FC716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1BE90CC1" w14:textId="77777777" w:rsidR="00C67CE7" w:rsidRPr="00C67CE7" w:rsidRDefault="00C67CE7">
            <w:pPr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14:paraId="569B10F1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5E5DCAC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E4F744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92C6757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7853A2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D144022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1CED3617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340CCBF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7FBA4A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BE8C91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C77BEE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8E2FF81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770C73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1C974A2C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3052E82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8D617B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85926FE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F39B1BE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364AD32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8555BEF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7DB4DAEE" w14:textId="77777777" w:rsidR="00C67CE7" w:rsidRDefault="00C67CE7">
            <w:pPr>
              <w:rPr>
                <w:b/>
                <w:sz w:val="22"/>
              </w:rPr>
            </w:pPr>
          </w:p>
        </w:tc>
      </w:tr>
      <w:tr w:rsidR="00C67CE7" w14:paraId="147B722E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5FFFE992" w14:textId="1DC5DB05" w:rsidR="00C67CE7" w:rsidRPr="00C67CE7" w:rsidRDefault="00C67CE7">
            <w:pPr>
              <w:rPr>
                <w:b/>
                <w:sz w:val="20"/>
                <w:szCs w:val="20"/>
              </w:rPr>
            </w:pPr>
            <w:r w:rsidRPr="00C67CE7">
              <w:rPr>
                <w:b/>
                <w:sz w:val="20"/>
                <w:szCs w:val="20"/>
              </w:rPr>
              <w:t>GK1</w:t>
            </w:r>
          </w:p>
        </w:tc>
        <w:tc>
          <w:tcPr>
            <w:tcW w:w="629" w:type="dxa"/>
          </w:tcPr>
          <w:p w14:paraId="77B0699E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5D0BB99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3B9B751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6BA9D5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0337A8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1EFADE2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2EE9D15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70CEA4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584496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F00192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1D1E43C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C2D76F5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73998CF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67A7F4B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164278A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A4D93CD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D2C01EE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C52D4DC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0BCEE1C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B07A17C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0ECAC886" w14:textId="77777777" w:rsidR="00C67CE7" w:rsidRDefault="00C67CE7">
            <w:pPr>
              <w:rPr>
                <w:b/>
                <w:sz w:val="22"/>
              </w:rPr>
            </w:pPr>
          </w:p>
        </w:tc>
      </w:tr>
      <w:tr w:rsidR="00C67CE7" w14:paraId="1D5984F2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1225E61B" w14:textId="43ECFE93" w:rsidR="00C67CE7" w:rsidRPr="00C67CE7" w:rsidRDefault="00C67CE7">
            <w:pPr>
              <w:rPr>
                <w:b/>
                <w:sz w:val="20"/>
                <w:szCs w:val="20"/>
              </w:rPr>
            </w:pPr>
            <w:r w:rsidRPr="00C67CE7">
              <w:rPr>
                <w:b/>
                <w:sz w:val="20"/>
                <w:szCs w:val="20"/>
              </w:rPr>
              <w:t>GK2</w:t>
            </w:r>
          </w:p>
        </w:tc>
        <w:tc>
          <w:tcPr>
            <w:tcW w:w="629" w:type="dxa"/>
          </w:tcPr>
          <w:p w14:paraId="52F96735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4F94E72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B433E5C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DBC2C2F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6F7DBF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DBE8B37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01EF99D2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FECC2C9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8F98D6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8B1DCD1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A710D34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E143E1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99F972E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A77A5D7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B21F2AF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0680BA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293C49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9EA5E5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F31853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9CFB05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FAD105D" w14:textId="77777777" w:rsidR="00C67CE7" w:rsidRDefault="00C67CE7">
            <w:pPr>
              <w:rPr>
                <w:b/>
                <w:sz w:val="22"/>
              </w:rPr>
            </w:pPr>
          </w:p>
        </w:tc>
      </w:tr>
      <w:tr w:rsidR="00C67CE7" w14:paraId="454AAD9A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18F42CC8" w14:textId="4AB462A4" w:rsidR="00C67CE7" w:rsidRPr="00C67CE7" w:rsidRDefault="00C67CE7">
            <w:pPr>
              <w:rPr>
                <w:b/>
                <w:sz w:val="20"/>
                <w:szCs w:val="20"/>
              </w:rPr>
            </w:pPr>
            <w:r w:rsidRPr="00C67CE7">
              <w:rPr>
                <w:b/>
                <w:sz w:val="20"/>
                <w:szCs w:val="20"/>
              </w:rPr>
              <w:t>GK3</w:t>
            </w:r>
          </w:p>
        </w:tc>
        <w:tc>
          <w:tcPr>
            <w:tcW w:w="629" w:type="dxa"/>
          </w:tcPr>
          <w:p w14:paraId="6A66B22C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0CE20B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EC916EA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3810F71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93A0772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23C460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D575B6D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B5B391F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5AB098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D99E49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3E2B565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B559CF0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E72745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77E5D637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757E70E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247CD4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79B7B7A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2DCF13A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11F2C3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3F01445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4C467030" w14:textId="77777777" w:rsidR="00C67CE7" w:rsidRDefault="00C67CE7">
            <w:pPr>
              <w:rPr>
                <w:b/>
                <w:sz w:val="22"/>
              </w:rPr>
            </w:pPr>
          </w:p>
        </w:tc>
      </w:tr>
      <w:tr w:rsidR="00C67CE7" w14:paraId="42A31231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396CA8D4" w14:textId="05A893C4" w:rsidR="00C67CE7" w:rsidRPr="00C67CE7" w:rsidRDefault="00C67CE7">
            <w:pPr>
              <w:rPr>
                <w:b/>
                <w:sz w:val="20"/>
                <w:szCs w:val="20"/>
              </w:rPr>
            </w:pPr>
            <w:r w:rsidRPr="00C67CE7">
              <w:rPr>
                <w:b/>
                <w:sz w:val="20"/>
                <w:szCs w:val="20"/>
              </w:rPr>
              <w:t>GK …</w:t>
            </w:r>
          </w:p>
        </w:tc>
        <w:tc>
          <w:tcPr>
            <w:tcW w:w="629" w:type="dxa"/>
          </w:tcPr>
          <w:p w14:paraId="1895AB94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0E40915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73D4CF0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5BD52A7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B18A4BC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B74B8D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7E48D5D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610008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EF1096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003278F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411830C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EDD44FD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9AC91C0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C6045B2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45E9A6E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C571C7E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4ECDFE4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E563107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BA3B57C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27604A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49D53C2" w14:textId="77777777" w:rsidR="00C67CE7" w:rsidRDefault="00C67CE7">
            <w:pPr>
              <w:rPr>
                <w:b/>
                <w:sz w:val="22"/>
              </w:rPr>
            </w:pPr>
          </w:p>
        </w:tc>
      </w:tr>
      <w:tr w:rsidR="00C67CE7" w14:paraId="7DBE8D2B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5185CB72" w14:textId="77777777" w:rsidR="00C67CE7" w:rsidRPr="00C67CE7" w:rsidRDefault="00C67CE7">
            <w:pPr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14:paraId="14DABF91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6F3C76A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135E7A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C04C9B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EBB0F14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93E4271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3487AA2A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397E12D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4A665F9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EA2C72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5BE8712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950930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3257D69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30490760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CACCCB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C37207E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9E62D4F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E64F7A1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27CC3B7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76D105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0E195AD6" w14:textId="77777777" w:rsidR="00C67CE7" w:rsidRDefault="00C67CE7">
            <w:pPr>
              <w:rPr>
                <w:b/>
                <w:sz w:val="22"/>
              </w:rPr>
            </w:pPr>
          </w:p>
        </w:tc>
      </w:tr>
    </w:tbl>
    <w:p w14:paraId="780F175D" w14:textId="77037A59" w:rsidR="00CD2A2C" w:rsidRPr="00A13F7C" w:rsidRDefault="00132DE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LUB = læringsutbytte, </w:t>
      </w:r>
      <w:r w:rsidR="00A13F7C" w:rsidRPr="00A13F7C">
        <w:rPr>
          <w:bCs/>
          <w:sz w:val="20"/>
          <w:szCs w:val="20"/>
        </w:rPr>
        <w:t xml:space="preserve">K = </w:t>
      </w:r>
      <w:r>
        <w:rPr>
          <w:bCs/>
          <w:sz w:val="20"/>
          <w:szCs w:val="20"/>
        </w:rPr>
        <w:t>k</w:t>
      </w:r>
      <w:r w:rsidR="00A13F7C" w:rsidRPr="00A13F7C">
        <w:rPr>
          <w:bCs/>
          <w:sz w:val="20"/>
          <w:szCs w:val="20"/>
        </w:rPr>
        <w:t xml:space="preserve">unnskap, F = </w:t>
      </w:r>
      <w:r>
        <w:rPr>
          <w:bCs/>
          <w:sz w:val="20"/>
          <w:szCs w:val="20"/>
        </w:rPr>
        <w:t>f</w:t>
      </w:r>
      <w:r w:rsidR="00A13F7C" w:rsidRPr="00A13F7C">
        <w:rPr>
          <w:bCs/>
          <w:sz w:val="20"/>
          <w:szCs w:val="20"/>
        </w:rPr>
        <w:t xml:space="preserve">erdigheter, GK = </w:t>
      </w:r>
      <w:r>
        <w:rPr>
          <w:bCs/>
          <w:sz w:val="20"/>
          <w:szCs w:val="20"/>
        </w:rPr>
        <w:t>g</w:t>
      </w:r>
      <w:r w:rsidR="00A13F7C" w:rsidRPr="00A13F7C">
        <w:rPr>
          <w:bCs/>
          <w:sz w:val="20"/>
          <w:szCs w:val="20"/>
        </w:rPr>
        <w:t>enerell kompetanse</w:t>
      </w:r>
      <w:r>
        <w:rPr>
          <w:bCs/>
          <w:sz w:val="20"/>
          <w:szCs w:val="20"/>
        </w:rPr>
        <w:t>. Nummereringen referer til den rekkefølgen læringsutbyttene er listet i studieplanen.</w:t>
      </w:r>
    </w:p>
    <w:p w14:paraId="547ACE10" w14:textId="47AD0B7B" w:rsidR="00A13F7C" w:rsidRDefault="00A13F7C">
      <w:pPr>
        <w:spacing w:after="160" w:line="259" w:lineRule="auto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br w:type="page"/>
      </w:r>
    </w:p>
    <w:p w14:paraId="549E48CC" w14:textId="1599C205" w:rsidR="00A13F7C" w:rsidRDefault="00A13F7C">
      <w:pPr>
        <w:rPr>
          <w:b/>
          <w:sz w:val="28"/>
          <w:szCs w:val="28"/>
        </w:rPr>
      </w:pPr>
      <w:r w:rsidRPr="00A13F7C">
        <w:rPr>
          <w:b/>
          <w:sz w:val="28"/>
          <w:szCs w:val="28"/>
        </w:rPr>
        <w:t>Tabell 3</w:t>
      </w:r>
      <w:r w:rsidR="00726B56">
        <w:rPr>
          <w:b/>
          <w:sz w:val="28"/>
          <w:szCs w:val="28"/>
        </w:rPr>
        <w:t>.</w:t>
      </w:r>
      <w:r w:rsidRPr="00A13F7C">
        <w:rPr>
          <w:b/>
          <w:sz w:val="28"/>
          <w:szCs w:val="28"/>
        </w:rPr>
        <w:t xml:space="preserve"> Oversikt over fagmiljøet</w:t>
      </w:r>
    </w:p>
    <w:p w14:paraId="3B4ED19D" w14:textId="41493A70" w:rsidR="00A13F7C" w:rsidRPr="00A13F7C" w:rsidRDefault="00A13F7C">
      <w:pPr>
        <w:rPr>
          <w:b/>
          <w:szCs w:val="24"/>
        </w:rPr>
      </w:pPr>
      <w:r w:rsidRPr="00A13F7C">
        <w:rPr>
          <w:i/>
          <w:sz w:val="22"/>
          <w:szCs w:val="20"/>
        </w:rPr>
        <w:t xml:space="preserve">Tabellen skal gi en kvantitativ oversikt over fagmiljø som skal knyttes til studiet det søkes akkreditering for. </w:t>
      </w:r>
      <w:r>
        <w:rPr>
          <w:i/>
          <w:sz w:val="22"/>
          <w:szCs w:val="20"/>
        </w:rPr>
        <w:br/>
      </w:r>
      <w:r w:rsidRPr="00A13F7C">
        <w:rPr>
          <w:i/>
          <w:sz w:val="22"/>
          <w:szCs w:val="20"/>
        </w:rPr>
        <w:t>Innsatsen til de ansatte oppgis i årsverk i følgende form: et helt årsverk = 1,0, et halvt årsverk = 0,5 etc</w:t>
      </w:r>
      <w:r>
        <w:rPr>
          <w:i/>
          <w:sz w:val="22"/>
          <w:szCs w:val="20"/>
        </w:rPr>
        <w:t>.</w:t>
      </w:r>
    </w:p>
    <w:p w14:paraId="7725B2EA" w14:textId="77777777" w:rsidR="00A13F7C" w:rsidRDefault="00A13F7C">
      <w:pPr>
        <w:rPr>
          <w:bCs/>
          <w:sz w:val="18"/>
          <w:szCs w:val="18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286"/>
        <w:gridCol w:w="1848"/>
        <w:gridCol w:w="1485"/>
        <w:gridCol w:w="798"/>
        <w:gridCol w:w="745"/>
        <w:gridCol w:w="639"/>
        <w:gridCol w:w="798"/>
        <w:gridCol w:w="2530"/>
        <w:gridCol w:w="3325"/>
      </w:tblGrid>
      <w:tr w:rsidR="00A13F7C" w:rsidRPr="00A13F7C" w14:paraId="1A93AC7C" w14:textId="77777777" w:rsidTr="00A13F7C">
        <w:trPr>
          <w:trHeight w:val="544"/>
        </w:trPr>
        <w:tc>
          <w:tcPr>
            <w:tcW w:w="2340" w:type="dxa"/>
          </w:tcPr>
          <w:p w14:paraId="6460E455" w14:textId="77777777" w:rsidR="00A13F7C" w:rsidRPr="00A13F7C" w:rsidRDefault="00A13F7C" w:rsidP="00A13F7C">
            <w:pPr>
              <w:rPr>
                <w:b/>
                <w:sz w:val="20"/>
                <w:szCs w:val="20"/>
              </w:rPr>
            </w:pPr>
            <w:r w:rsidRPr="00A13F7C">
              <w:rPr>
                <w:b/>
                <w:sz w:val="20"/>
                <w:szCs w:val="20"/>
              </w:rPr>
              <w:t>Ansatte som bidrar faglig</w:t>
            </w:r>
          </w:p>
        </w:tc>
        <w:tc>
          <w:tcPr>
            <w:tcW w:w="1649" w:type="dxa"/>
          </w:tcPr>
          <w:p w14:paraId="74247AAD" w14:textId="4EE6222C" w:rsidR="00A13F7C" w:rsidRPr="00A13F7C" w:rsidRDefault="00A13F7C" w:rsidP="00A13F7C">
            <w:pPr>
              <w:rPr>
                <w:b/>
                <w:sz w:val="20"/>
                <w:szCs w:val="20"/>
              </w:rPr>
            </w:pPr>
            <w:r w:rsidRPr="00A13F7C">
              <w:rPr>
                <w:b/>
                <w:sz w:val="20"/>
                <w:szCs w:val="20"/>
              </w:rPr>
              <w:t>Stillingsbetegnelse</w:t>
            </w:r>
            <w:r>
              <w:rPr>
                <w:rStyle w:val="FootnoteReference"/>
                <w:b/>
                <w:sz w:val="20"/>
                <w:szCs w:val="20"/>
              </w:rPr>
              <w:footnoteReference w:id="1"/>
            </w:r>
          </w:p>
        </w:tc>
        <w:tc>
          <w:tcPr>
            <w:tcW w:w="1495" w:type="dxa"/>
          </w:tcPr>
          <w:p w14:paraId="36832AF8" w14:textId="77777777" w:rsidR="00A13F7C" w:rsidRPr="00A13F7C" w:rsidRDefault="00A13F7C" w:rsidP="00A13F7C">
            <w:pPr>
              <w:rPr>
                <w:b/>
                <w:sz w:val="20"/>
                <w:szCs w:val="20"/>
              </w:rPr>
            </w:pPr>
            <w:r w:rsidRPr="00A13F7C">
              <w:rPr>
                <w:b/>
                <w:sz w:val="20"/>
                <w:szCs w:val="20"/>
              </w:rPr>
              <w:t>Ansettelses-</w:t>
            </w:r>
          </w:p>
          <w:p w14:paraId="61144A21" w14:textId="0AC1DAF9" w:rsidR="00A13F7C" w:rsidRPr="00A13F7C" w:rsidRDefault="00A13F7C" w:rsidP="00A13F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Pr="00A13F7C">
              <w:rPr>
                <w:b/>
                <w:sz w:val="20"/>
                <w:szCs w:val="20"/>
              </w:rPr>
              <w:t>orhold</w:t>
            </w:r>
            <w:r>
              <w:rPr>
                <w:rStyle w:val="FootnoteReference"/>
                <w:b/>
                <w:sz w:val="20"/>
                <w:szCs w:val="20"/>
              </w:rPr>
              <w:footnoteReference w:id="2"/>
            </w:r>
          </w:p>
        </w:tc>
        <w:tc>
          <w:tcPr>
            <w:tcW w:w="2999" w:type="dxa"/>
            <w:gridSpan w:val="4"/>
          </w:tcPr>
          <w:p w14:paraId="626CAC41" w14:textId="77777777" w:rsidR="00A13F7C" w:rsidRPr="00A13F7C" w:rsidRDefault="00A13F7C" w:rsidP="00A13F7C">
            <w:pPr>
              <w:rPr>
                <w:b/>
                <w:sz w:val="20"/>
                <w:szCs w:val="20"/>
              </w:rPr>
            </w:pPr>
            <w:r w:rsidRPr="00A13F7C">
              <w:rPr>
                <w:b/>
                <w:sz w:val="20"/>
                <w:szCs w:val="20"/>
              </w:rPr>
              <w:t>Faglige årsverk i studiet</w:t>
            </w:r>
          </w:p>
        </w:tc>
        <w:tc>
          <w:tcPr>
            <w:tcW w:w="2591" w:type="dxa"/>
          </w:tcPr>
          <w:p w14:paraId="7E191266" w14:textId="3065977D" w:rsidR="00A13F7C" w:rsidRPr="00A13F7C" w:rsidRDefault="00A13F7C" w:rsidP="00A13F7C">
            <w:pPr>
              <w:rPr>
                <w:b/>
                <w:sz w:val="20"/>
                <w:szCs w:val="20"/>
              </w:rPr>
            </w:pPr>
            <w:r w:rsidRPr="00A13F7C">
              <w:rPr>
                <w:b/>
                <w:sz w:val="20"/>
                <w:szCs w:val="20"/>
              </w:rPr>
              <w:t xml:space="preserve">Årsverk i andre studier </w:t>
            </w:r>
            <w:r w:rsidRPr="00A13F7C">
              <w:rPr>
                <w:bCs/>
                <w:sz w:val="20"/>
                <w:szCs w:val="20"/>
              </w:rPr>
              <w:t>(oppgi hvilke)</w:t>
            </w:r>
            <w:r>
              <w:rPr>
                <w:rStyle w:val="FootnoteReference"/>
                <w:b/>
                <w:sz w:val="20"/>
                <w:szCs w:val="20"/>
              </w:rPr>
              <w:footnoteReference w:id="3"/>
            </w:r>
          </w:p>
        </w:tc>
        <w:tc>
          <w:tcPr>
            <w:tcW w:w="3380" w:type="dxa"/>
          </w:tcPr>
          <w:p w14:paraId="22E3DCA0" w14:textId="1EFEB4A4" w:rsidR="00A13F7C" w:rsidRPr="00A13F7C" w:rsidRDefault="00A13F7C" w:rsidP="00A13F7C">
            <w:pPr>
              <w:rPr>
                <w:b/>
                <w:sz w:val="20"/>
                <w:szCs w:val="20"/>
              </w:rPr>
            </w:pPr>
            <w:r w:rsidRPr="00A13F7C">
              <w:rPr>
                <w:b/>
                <w:sz w:val="20"/>
                <w:szCs w:val="20"/>
              </w:rPr>
              <w:t>Undervisnings</w:t>
            </w:r>
            <w:r>
              <w:rPr>
                <w:b/>
                <w:sz w:val="20"/>
                <w:szCs w:val="20"/>
              </w:rPr>
              <w:t>-</w:t>
            </w:r>
            <w:r w:rsidRPr="00A13F7C">
              <w:rPr>
                <w:b/>
                <w:sz w:val="20"/>
                <w:szCs w:val="20"/>
              </w:rPr>
              <w:t>/veiledningsområde i studiet</w:t>
            </w:r>
          </w:p>
        </w:tc>
      </w:tr>
      <w:tr w:rsidR="00A13F7C" w:rsidRPr="00A13F7C" w14:paraId="3DF8F66B" w14:textId="77777777" w:rsidTr="00A95BA0">
        <w:trPr>
          <w:trHeight w:val="225"/>
        </w:trPr>
        <w:tc>
          <w:tcPr>
            <w:tcW w:w="2340" w:type="dxa"/>
          </w:tcPr>
          <w:p w14:paraId="2E4CDA07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5555153C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3C1C7EB5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2C35AC6A" w14:textId="79A59112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  <w:r w:rsidRPr="00A13F7C">
              <w:rPr>
                <w:bCs/>
                <w:sz w:val="18"/>
                <w:szCs w:val="18"/>
              </w:rPr>
              <w:t>Total</w:t>
            </w:r>
            <w:r>
              <w:rPr>
                <w:rStyle w:val="FootnoteReference"/>
                <w:bCs/>
                <w:sz w:val="18"/>
                <w:szCs w:val="18"/>
              </w:rPr>
              <w:footnoteReference w:id="4"/>
            </w:r>
          </w:p>
        </w:tc>
        <w:tc>
          <w:tcPr>
            <w:tcW w:w="750" w:type="dxa"/>
          </w:tcPr>
          <w:p w14:paraId="22241D00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  <w:r w:rsidRPr="00A13F7C">
              <w:rPr>
                <w:bCs/>
                <w:sz w:val="18"/>
                <w:szCs w:val="18"/>
              </w:rPr>
              <w:t>U&amp;V</w:t>
            </w:r>
          </w:p>
        </w:tc>
        <w:tc>
          <w:tcPr>
            <w:tcW w:w="643" w:type="dxa"/>
          </w:tcPr>
          <w:p w14:paraId="5E794F35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  <w:r w:rsidRPr="00A13F7C">
              <w:rPr>
                <w:bCs/>
                <w:sz w:val="18"/>
                <w:szCs w:val="18"/>
              </w:rPr>
              <w:t>FoU</w:t>
            </w:r>
          </w:p>
        </w:tc>
        <w:tc>
          <w:tcPr>
            <w:tcW w:w="803" w:type="dxa"/>
          </w:tcPr>
          <w:p w14:paraId="6EE085A8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  <w:r w:rsidRPr="00A13F7C">
              <w:rPr>
                <w:bCs/>
                <w:sz w:val="18"/>
                <w:szCs w:val="18"/>
              </w:rPr>
              <w:t>Annet</w:t>
            </w:r>
          </w:p>
        </w:tc>
        <w:tc>
          <w:tcPr>
            <w:tcW w:w="2591" w:type="dxa"/>
          </w:tcPr>
          <w:p w14:paraId="36748354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2EDF0CC0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A13F7C" w14:paraId="54E80198" w14:textId="77777777" w:rsidTr="00A95BA0">
        <w:trPr>
          <w:trHeight w:val="225"/>
        </w:trPr>
        <w:tc>
          <w:tcPr>
            <w:tcW w:w="2340" w:type="dxa"/>
          </w:tcPr>
          <w:p w14:paraId="13124A74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3FBF06FA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1E7B7F90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02D96985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69B1BB40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62697F56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0446E51B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2ECFEEA3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7A02B509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A13F7C" w14:paraId="488E62F6" w14:textId="77777777" w:rsidTr="00A95BA0">
        <w:trPr>
          <w:trHeight w:val="225"/>
        </w:trPr>
        <w:tc>
          <w:tcPr>
            <w:tcW w:w="2340" w:type="dxa"/>
          </w:tcPr>
          <w:p w14:paraId="639210A3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7595370C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786DAE88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22CD9C42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44F04567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50A34773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22F8E81C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41ED5223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4874EBFF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A13F7C" w14:paraId="2D719938" w14:textId="77777777" w:rsidTr="00A95BA0">
        <w:trPr>
          <w:trHeight w:val="225"/>
        </w:trPr>
        <w:tc>
          <w:tcPr>
            <w:tcW w:w="2340" w:type="dxa"/>
          </w:tcPr>
          <w:p w14:paraId="19776298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140E11ED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7AD2671E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74CAE8AD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274D1B94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5427B170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11CF0A21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4EC451CE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5C83200E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A13F7C" w14:paraId="0C96D060" w14:textId="77777777" w:rsidTr="00A95BA0">
        <w:trPr>
          <w:trHeight w:val="225"/>
        </w:trPr>
        <w:tc>
          <w:tcPr>
            <w:tcW w:w="2340" w:type="dxa"/>
          </w:tcPr>
          <w:p w14:paraId="7A0FD4E7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4C67A0C5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3E8F9356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2514280E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11516473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7A874E90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33DDF2C2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64B6CD79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53F5825B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A13F7C" w14:paraId="28D2D743" w14:textId="77777777" w:rsidTr="00A95BA0">
        <w:trPr>
          <w:trHeight w:val="225"/>
        </w:trPr>
        <w:tc>
          <w:tcPr>
            <w:tcW w:w="2340" w:type="dxa"/>
          </w:tcPr>
          <w:p w14:paraId="10C4BB42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66509849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3CEF0309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385433EE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11590C21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2032F939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5E8FD220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4E7D0E55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2E9BC49F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A13F7C" w14:paraId="16C5408F" w14:textId="77777777" w:rsidTr="00A95BA0">
        <w:trPr>
          <w:trHeight w:val="225"/>
        </w:trPr>
        <w:tc>
          <w:tcPr>
            <w:tcW w:w="2340" w:type="dxa"/>
          </w:tcPr>
          <w:p w14:paraId="3B98F477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75E74BE0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4556B7A0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2ACF5AA8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6FD5973A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70176EC0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4E009E21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08BF44DD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2CC182D7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A13F7C" w14:paraId="49D94E4F" w14:textId="77777777" w:rsidTr="00A95BA0">
        <w:trPr>
          <w:trHeight w:val="225"/>
        </w:trPr>
        <w:tc>
          <w:tcPr>
            <w:tcW w:w="2340" w:type="dxa"/>
          </w:tcPr>
          <w:p w14:paraId="284A683F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498DF880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66832881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50B5CD2E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698D4243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6B33FB66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444069F2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762D4659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41F0B194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A13F7C" w14:paraId="6D43CE48" w14:textId="77777777" w:rsidTr="00A95BA0">
        <w:trPr>
          <w:trHeight w:val="225"/>
        </w:trPr>
        <w:tc>
          <w:tcPr>
            <w:tcW w:w="2340" w:type="dxa"/>
          </w:tcPr>
          <w:p w14:paraId="309E1AD8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3C78AAC2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7C3BA997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17E6133F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707D286F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0C850E48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67819F9E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72D56AD4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00703F94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A13F7C" w14:paraId="496672A4" w14:textId="77777777" w:rsidTr="00A95BA0">
        <w:trPr>
          <w:trHeight w:val="225"/>
        </w:trPr>
        <w:tc>
          <w:tcPr>
            <w:tcW w:w="2340" w:type="dxa"/>
          </w:tcPr>
          <w:p w14:paraId="5D4D7EDE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0108E072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4C972811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5DE8E5EC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4AC97A8E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2E6F820A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06DC750E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52834F22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127FBC46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A13F7C" w14:paraId="708079F8" w14:textId="77777777" w:rsidTr="00A95BA0">
        <w:trPr>
          <w:trHeight w:val="225"/>
        </w:trPr>
        <w:tc>
          <w:tcPr>
            <w:tcW w:w="5484" w:type="dxa"/>
            <w:gridSpan w:val="3"/>
            <w:shd w:val="clear" w:color="auto" w:fill="D9D9D9" w:themeFill="background1" w:themeFillShade="D9"/>
          </w:tcPr>
          <w:p w14:paraId="7A48D3AB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  <w:r w:rsidRPr="00A13F7C">
              <w:rPr>
                <w:bCs/>
                <w:sz w:val="18"/>
                <w:szCs w:val="18"/>
              </w:rPr>
              <w:t>SUM</w:t>
            </w:r>
          </w:p>
        </w:tc>
        <w:tc>
          <w:tcPr>
            <w:tcW w:w="803" w:type="dxa"/>
            <w:shd w:val="clear" w:color="auto" w:fill="D9D9D9" w:themeFill="background1" w:themeFillShade="D9"/>
          </w:tcPr>
          <w:p w14:paraId="56ED3C02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6624005A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D9D9D9" w:themeFill="background1" w:themeFillShade="D9"/>
          </w:tcPr>
          <w:p w14:paraId="0E2E5E8E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14:paraId="23EE299B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5971" w:type="dxa"/>
            <w:gridSpan w:val="2"/>
            <w:shd w:val="clear" w:color="auto" w:fill="D9D9D9" w:themeFill="background1" w:themeFillShade="D9"/>
          </w:tcPr>
          <w:p w14:paraId="02BEE5BF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</w:tbl>
    <w:p w14:paraId="5AE37C93" w14:textId="529FB66A" w:rsidR="00A13F7C" w:rsidRPr="00A13F7C" w:rsidRDefault="00132DEE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U&amp;V = Undervisning og veiledning, FoU = forskning og utvikling</w:t>
      </w:r>
    </w:p>
    <w:sectPr w:rsidR="00A13F7C" w:rsidRPr="00A13F7C" w:rsidSect="007C2C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65D37" w14:textId="77777777" w:rsidR="00AC1BCE" w:rsidRDefault="00AC1BCE" w:rsidP="00A13F7C">
      <w:pPr>
        <w:spacing w:line="240" w:lineRule="auto"/>
      </w:pPr>
      <w:r>
        <w:separator/>
      </w:r>
    </w:p>
  </w:endnote>
  <w:endnote w:type="continuationSeparator" w:id="0">
    <w:p w14:paraId="5A53E00F" w14:textId="77777777" w:rsidR="00AC1BCE" w:rsidRDefault="00AC1BCE" w:rsidP="00A13F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77126" w14:textId="77777777" w:rsidR="00AC1BCE" w:rsidRDefault="00AC1BCE" w:rsidP="00A13F7C">
      <w:pPr>
        <w:spacing w:line="240" w:lineRule="auto"/>
      </w:pPr>
      <w:r>
        <w:separator/>
      </w:r>
    </w:p>
  </w:footnote>
  <w:footnote w:type="continuationSeparator" w:id="0">
    <w:p w14:paraId="17C4DA6F" w14:textId="77777777" w:rsidR="00AC1BCE" w:rsidRDefault="00AC1BCE" w:rsidP="00A13F7C">
      <w:pPr>
        <w:spacing w:line="240" w:lineRule="auto"/>
      </w:pPr>
      <w:r>
        <w:continuationSeparator/>
      </w:r>
    </w:p>
  </w:footnote>
  <w:footnote w:id="1">
    <w:p w14:paraId="7F7370F8" w14:textId="40F1F2A0" w:rsidR="00A13F7C" w:rsidRDefault="00A13F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62360">
        <w:t>Professor, dosent, førsteamanuensis, førstelektor, høyskolelektor/universitetslektor, høyskolelærer, post.doc.</w:t>
      </w:r>
    </w:p>
  </w:footnote>
  <w:footnote w:id="2">
    <w:p w14:paraId="18497824" w14:textId="0D61C0CB" w:rsidR="00A13F7C" w:rsidRDefault="00A13F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62360">
        <w:t>Angi om personen har hovedstilling ved institusjonen eller ikke, og om ansettelsesforholdet er fast/midlertidig/timelærer</w:t>
      </w:r>
    </w:p>
  </w:footnote>
  <w:footnote w:id="3">
    <w:p w14:paraId="44716DB4" w14:textId="5991BBC3" w:rsidR="00A13F7C" w:rsidRDefault="00A13F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62360">
        <w:t>Med «totalt» menes her det totale årsverket (stillingsstørrelsen) som personen bidrar med i det omsøkte studiet. Dette skal fordeles på undervisning og veiledning (U&amp;V), forsknings- og utviklingsarbeid (FoU) og annet (administrative oppgaver av faglig karakter knyttet direkte til studiet).</w:t>
      </w:r>
    </w:p>
  </w:footnote>
  <w:footnote w:id="4">
    <w:p w14:paraId="5FBB5BEB" w14:textId="46DCFBAF" w:rsidR="00A13F7C" w:rsidRDefault="00A13F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62360">
        <w:t>Presiser om det er ved andre institusjoner eller ved egen institusjon.</w:t>
      </w:r>
    </w:p>
    <w:p w14:paraId="57D563E1" w14:textId="77777777" w:rsidR="00A13F7C" w:rsidRDefault="00A13F7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506"/>
    <w:multiLevelType w:val="hybridMultilevel"/>
    <w:tmpl w:val="FE62BF86"/>
    <w:lvl w:ilvl="0" w:tplc="D85AA8D2"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38D5D85"/>
    <w:multiLevelType w:val="hybridMultilevel"/>
    <w:tmpl w:val="258E41B0"/>
    <w:lvl w:ilvl="0" w:tplc="D85AA8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456A5"/>
    <w:multiLevelType w:val="hybridMultilevel"/>
    <w:tmpl w:val="A2A068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80037"/>
    <w:multiLevelType w:val="hybridMultilevel"/>
    <w:tmpl w:val="AFFABE00"/>
    <w:lvl w:ilvl="0" w:tplc="6C66E03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F3125"/>
    <w:multiLevelType w:val="hybridMultilevel"/>
    <w:tmpl w:val="A7D070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4502A"/>
    <w:multiLevelType w:val="hybridMultilevel"/>
    <w:tmpl w:val="F642F8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54904"/>
    <w:multiLevelType w:val="hybridMultilevel"/>
    <w:tmpl w:val="69D6C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B6F9F"/>
    <w:multiLevelType w:val="hybridMultilevel"/>
    <w:tmpl w:val="69D6CB9A"/>
    <w:lvl w:ilvl="0" w:tplc="6C66E03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50BF6"/>
    <w:multiLevelType w:val="hybridMultilevel"/>
    <w:tmpl w:val="487C398C"/>
    <w:lvl w:ilvl="0" w:tplc="6C66E03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A4738"/>
    <w:multiLevelType w:val="hybridMultilevel"/>
    <w:tmpl w:val="A4887A0E"/>
    <w:lvl w:ilvl="0" w:tplc="D85AA8D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30152"/>
    <w:multiLevelType w:val="hybridMultilevel"/>
    <w:tmpl w:val="878ECE5C"/>
    <w:lvl w:ilvl="0" w:tplc="D85AA8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83460"/>
    <w:multiLevelType w:val="hybridMultilevel"/>
    <w:tmpl w:val="095EA0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41AC8"/>
    <w:multiLevelType w:val="hybridMultilevel"/>
    <w:tmpl w:val="CEDC8718"/>
    <w:lvl w:ilvl="0" w:tplc="0D363B24">
      <w:start w:val="1"/>
      <w:numFmt w:val="lowerLetter"/>
      <w:pStyle w:val="Style2"/>
      <w:lvlText w:val="%1)"/>
      <w:lvlJc w:val="left"/>
      <w:pPr>
        <w:ind w:left="360" w:hanging="360"/>
      </w:pPr>
      <w:rPr>
        <w:sz w:val="28"/>
        <w:szCs w:val="28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EE3DDD"/>
    <w:multiLevelType w:val="hybridMultilevel"/>
    <w:tmpl w:val="6908EA94"/>
    <w:lvl w:ilvl="0" w:tplc="6C66E03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71877"/>
    <w:multiLevelType w:val="hybridMultilevel"/>
    <w:tmpl w:val="6992A6AA"/>
    <w:lvl w:ilvl="0" w:tplc="D85AA8D2"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5" w15:restartNumberingAfterBreak="0">
    <w:nsid w:val="63E04A60"/>
    <w:multiLevelType w:val="hybridMultilevel"/>
    <w:tmpl w:val="33B861BE"/>
    <w:lvl w:ilvl="0" w:tplc="D85AA8D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822F17"/>
    <w:multiLevelType w:val="hybridMultilevel"/>
    <w:tmpl w:val="74347A0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C52B6F"/>
    <w:multiLevelType w:val="hybridMultilevel"/>
    <w:tmpl w:val="B9D017D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6566433">
    <w:abstractNumId w:val="12"/>
  </w:num>
  <w:num w:numId="2" w16cid:durableId="1844122533">
    <w:abstractNumId w:val="17"/>
  </w:num>
  <w:num w:numId="3" w16cid:durableId="1782412732">
    <w:abstractNumId w:val="1"/>
  </w:num>
  <w:num w:numId="4" w16cid:durableId="197940030">
    <w:abstractNumId w:val="10"/>
  </w:num>
  <w:num w:numId="5" w16cid:durableId="565993520">
    <w:abstractNumId w:val="4"/>
  </w:num>
  <w:num w:numId="6" w16cid:durableId="1734742788">
    <w:abstractNumId w:val="7"/>
  </w:num>
  <w:num w:numId="7" w16cid:durableId="270162634">
    <w:abstractNumId w:val="13"/>
  </w:num>
  <w:num w:numId="8" w16cid:durableId="833955264">
    <w:abstractNumId w:val="0"/>
  </w:num>
  <w:num w:numId="9" w16cid:durableId="2009943604">
    <w:abstractNumId w:val="15"/>
  </w:num>
  <w:num w:numId="10" w16cid:durableId="64693359">
    <w:abstractNumId w:val="14"/>
  </w:num>
  <w:num w:numId="11" w16cid:durableId="120661130">
    <w:abstractNumId w:val="2"/>
  </w:num>
  <w:num w:numId="12" w16cid:durableId="222715082">
    <w:abstractNumId w:val="11"/>
  </w:num>
  <w:num w:numId="13" w16cid:durableId="554588913">
    <w:abstractNumId w:val="8"/>
  </w:num>
  <w:num w:numId="14" w16cid:durableId="1129979751">
    <w:abstractNumId w:val="5"/>
  </w:num>
  <w:num w:numId="15" w16cid:durableId="317880159">
    <w:abstractNumId w:val="3"/>
  </w:num>
  <w:num w:numId="16" w16cid:durableId="253903097">
    <w:abstractNumId w:val="9"/>
  </w:num>
  <w:num w:numId="17" w16cid:durableId="1373189796">
    <w:abstractNumId w:val="6"/>
  </w:num>
  <w:num w:numId="18" w16cid:durableId="20875278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48"/>
    <w:rsid w:val="00011BDF"/>
    <w:rsid w:val="00025A02"/>
    <w:rsid w:val="00034608"/>
    <w:rsid w:val="00034D93"/>
    <w:rsid w:val="0004698C"/>
    <w:rsid w:val="000651F9"/>
    <w:rsid w:val="000702E4"/>
    <w:rsid w:val="00071101"/>
    <w:rsid w:val="00073D99"/>
    <w:rsid w:val="0008324B"/>
    <w:rsid w:val="000E2E33"/>
    <w:rsid w:val="000E5342"/>
    <w:rsid w:val="001071DB"/>
    <w:rsid w:val="00117671"/>
    <w:rsid w:val="00127A25"/>
    <w:rsid w:val="00132DEE"/>
    <w:rsid w:val="00135631"/>
    <w:rsid w:val="00145F2B"/>
    <w:rsid w:val="00150067"/>
    <w:rsid w:val="0015323C"/>
    <w:rsid w:val="00153A54"/>
    <w:rsid w:val="0017172B"/>
    <w:rsid w:val="00177792"/>
    <w:rsid w:val="001B70EE"/>
    <w:rsid w:val="001C668D"/>
    <w:rsid w:val="001D4DAE"/>
    <w:rsid w:val="001E2D42"/>
    <w:rsid w:val="00201EFC"/>
    <w:rsid w:val="002054AF"/>
    <w:rsid w:val="0021198E"/>
    <w:rsid w:val="002139C7"/>
    <w:rsid w:val="00214113"/>
    <w:rsid w:val="00230D92"/>
    <w:rsid w:val="002502BF"/>
    <w:rsid w:val="00266156"/>
    <w:rsid w:val="002919D3"/>
    <w:rsid w:val="002A19DD"/>
    <w:rsid w:val="002B058F"/>
    <w:rsid w:val="002C51D0"/>
    <w:rsid w:val="0031102C"/>
    <w:rsid w:val="003222E9"/>
    <w:rsid w:val="00325FA2"/>
    <w:rsid w:val="00332A56"/>
    <w:rsid w:val="00335045"/>
    <w:rsid w:val="00345AA9"/>
    <w:rsid w:val="00350742"/>
    <w:rsid w:val="00352729"/>
    <w:rsid w:val="00363AC4"/>
    <w:rsid w:val="0036681E"/>
    <w:rsid w:val="003745BA"/>
    <w:rsid w:val="003812A4"/>
    <w:rsid w:val="00394191"/>
    <w:rsid w:val="003B46B7"/>
    <w:rsid w:val="003B786C"/>
    <w:rsid w:val="003C4005"/>
    <w:rsid w:val="003C71E9"/>
    <w:rsid w:val="003D5DA9"/>
    <w:rsid w:val="003F6B33"/>
    <w:rsid w:val="004030F0"/>
    <w:rsid w:val="00406AA7"/>
    <w:rsid w:val="004151BE"/>
    <w:rsid w:val="0042388C"/>
    <w:rsid w:val="00455998"/>
    <w:rsid w:val="00464B86"/>
    <w:rsid w:val="00484EA9"/>
    <w:rsid w:val="004912E4"/>
    <w:rsid w:val="004950FA"/>
    <w:rsid w:val="00495226"/>
    <w:rsid w:val="004A032C"/>
    <w:rsid w:val="004B2B36"/>
    <w:rsid w:val="004B3852"/>
    <w:rsid w:val="004D0511"/>
    <w:rsid w:val="004D32E0"/>
    <w:rsid w:val="004E7494"/>
    <w:rsid w:val="004F3FAA"/>
    <w:rsid w:val="0050692A"/>
    <w:rsid w:val="00516929"/>
    <w:rsid w:val="00520C3F"/>
    <w:rsid w:val="0055280A"/>
    <w:rsid w:val="0055651E"/>
    <w:rsid w:val="00561A4C"/>
    <w:rsid w:val="0056630D"/>
    <w:rsid w:val="00587C09"/>
    <w:rsid w:val="00593FFE"/>
    <w:rsid w:val="005A7BCA"/>
    <w:rsid w:val="005B1638"/>
    <w:rsid w:val="005C1D20"/>
    <w:rsid w:val="005C5DF7"/>
    <w:rsid w:val="005C7EAB"/>
    <w:rsid w:val="005D1A09"/>
    <w:rsid w:val="005D4E34"/>
    <w:rsid w:val="005E5E94"/>
    <w:rsid w:val="00627CD9"/>
    <w:rsid w:val="006372FE"/>
    <w:rsid w:val="006419FC"/>
    <w:rsid w:val="00646233"/>
    <w:rsid w:val="00652E7F"/>
    <w:rsid w:val="00665E17"/>
    <w:rsid w:val="0067076F"/>
    <w:rsid w:val="00682296"/>
    <w:rsid w:val="0069404C"/>
    <w:rsid w:val="006A29F9"/>
    <w:rsid w:val="006A45A4"/>
    <w:rsid w:val="006B066E"/>
    <w:rsid w:val="006B0E43"/>
    <w:rsid w:val="006B38B0"/>
    <w:rsid w:val="006C1299"/>
    <w:rsid w:val="006C3B25"/>
    <w:rsid w:val="006C40E8"/>
    <w:rsid w:val="006D5469"/>
    <w:rsid w:val="006E3D4F"/>
    <w:rsid w:val="006E5C59"/>
    <w:rsid w:val="007244C9"/>
    <w:rsid w:val="00724AA4"/>
    <w:rsid w:val="00726B56"/>
    <w:rsid w:val="00740521"/>
    <w:rsid w:val="00743F7D"/>
    <w:rsid w:val="00745AA2"/>
    <w:rsid w:val="0075231A"/>
    <w:rsid w:val="00772F65"/>
    <w:rsid w:val="007739F5"/>
    <w:rsid w:val="00781E59"/>
    <w:rsid w:val="0078485C"/>
    <w:rsid w:val="007865E3"/>
    <w:rsid w:val="007972AC"/>
    <w:rsid w:val="007B2D83"/>
    <w:rsid w:val="007B2E75"/>
    <w:rsid w:val="007C2C48"/>
    <w:rsid w:val="0080010B"/>
    <w:rsid w:val="0080116C"/>
    <w:rsid w:val="008105F2"/>
    <w:rsid w:val="00810E09"/>
    <w:rsid w:val="008327CF"/>
    <w:rsid w:val="0084055B"/>
    <w:rsid w:val="00841F5C"/>
    <w:rsid w:val="00846D94"/>
    <w:rsid w:val="00852645"/>
    <w:rsid w:val="00852FB8"/>
    <w:rsid w:val="00867727"/>
    <w:rsid w:val="008F41FE"/>
    <w:rsid w:val="00916CED"/>
    <w:rsid w:val="0093030D"/>
    <w:rsid w:val="00933E30"/>
    <w:rsid w:val="00936FFE"/>
    <w:rsid w:val="00937C57"/>
    <w:rsid w:val="00947DF8"/>
    <w:rsid w:val="009535A6"/>
    <w:rsid w:val="00970D43"/>
    <w:rsid w:val="0097468E"/>
    <w:rsid w:val="00974EB8"/>
    <w:rsid w:val="009B4C0B"/>
    <w:rsid w:val="009B6028"/>
    <w:rsid w:val="009C08F4"/>
    <w:rsid w:val="009D1951"/>
    <w:rsid w:val="009E270F"/>
    <w:rsid w:val="009F7F09"/>
    <w:rsid w:val="00A07328"/>
    <w:rsid w:val="00A13F7C"/>
    <w:rsid w:val="00A41F45"/>
    <w:rsid w:val="00A67526"/>
    <w:rsid w:val="00A73D7C"/>
    <w:rsid w:val="00A83FF4"/>
    <w:rsid w:val="00A96C8F"/>
    <w:rsid w:val="00A97CCA"/>
    <w:rsid w:val="00AB32AF"/>
    <w:rsid w:val="00AC1BCE"/>
    <w:rsid w:val="00AE28F8"/>
    <w:rsid w:val="00AE63CF"/>
    <w:rsid w:val="00AE714C"/>
    <w:rsid w:val="00B00F4C"/>
    <w:rsid w:val="00B15BF4"/>
    <w:rsid w:val="00B20846"/>
    <w:rsid w:val="00B20ED6"/>
    <w:rsid w:val="00B22756"/>
    <w:rsid w:val="00B25FE4"/>
    <w:rsid w:val="00B32DE3"/>
    <w:rsid w:val="00B35BA9"/>
    <w:rsid w:val="00B41B6D"/>
    <w:rsid w:val="00B46D87"/>
    <w:rsid w:val="00B47AAB"/>
    <w:rsid w:val="00B525BC"/>
    <w:rsid w:val="00B70C66"/>
    <w:rsid w:val="00B712AA"/>
    <w:rsid w:val="00B77F76"/>
    <w:rsid w:val="00B80873"/>
    <w:rsid w:val="00BC589C"/>
    <w:rsid w:val="00C3419D"/>
    <w:rsid w:val="00C463E5"/>
    <w:rsid w:val="00C4695B"/>
    <w:rsid w:val="00C46BC9"/>
    <w:rsid w:val="00C57B3D"/>
    <w:rsid w:val="00C67CE7"/>
    <w:rsid w:val="00C86AE3"/>
    <w:rsid w:val="00C96107"/>
    <w:rsid w:val="00CB03E6"/>
    <w:rsid w:val="00CB6BB7"/>
    <w:rsid w:val="00CC11BF"/>
    <w:rsid w:val="00CC30A2"/>
    <w:rsid w:val="00CD2A2C"/>
    <w:rsid w:val="00CD2BCB"/>
    <w:rsid w:val="00CD3B88"/>
    <w:rsid w:val="00CD752B"/>
    <w:rsid w:val="00CE1A78"/>
    <w:rsid w:val="00CF46B6"/>
    <w:rsid w:val="00D018D5"/>
    <w:rsid w:val="00D05F35"/>
    <w:rsid w:val="00D11427"/>
    <w:rsid w:val="00D13234"/>
    <w:rsid w:val="00D46B0C"/>
    <w:rsid w:val="00D53D2E"/>
    <w:rsid w:val="00D56E6A"/>
    <w:rsid w:val="00D57838"/>
    <w:rsid w:val="00D62270"/>
    <w:rsid w:val="00D647CF"/>
    <w:rsid w:val="00D66E0B"/>
    <w:rsid w:val="00D72743"/>
    <w:rsid w:val="00D737D3"/>
    <w:rsid w:val="00D74F63"/>
    <w:rsid w:val="00D86EFE"/>
    <w:rsid w:val="00D946FE"/>
    <w:rsid w:val="00D96409"/>
    <w:rsid w:val="00DC1EB5"/>
    <w:rsid w:val="00DD6BFD"/>
    <w:rsid w:val="00DD78DD"/>
    <w:rsid w:val="00DE52AE"/>
    <w:rsid w:val="00DF3848"/>
    <w:rsid w:val="00E005D8"/>
    <w:rsid w:val="00E0759B"/>
    <w:rsid w:val="00E16548"/>
    <w:rsid w:val="00E232D8"/>
    <w:rsid w:val="00E30682"/>
    <w:rsid w:val="00E31A94"/>
    <w:rsid w:val="00E331A7"/>
    <w:rsid w:val="00E44A5D"/>
    <w:rsid w:val="00E7482E"/>
    <w:rsid w:val="00EA224C"/>
    <w:rsid w:val="00ED65F8"/>
    <w:rsid w:val="00ED6FE9"/>
    <w:rsid w:val="00F010C8"/>
    <w:rsid w:val="00F11D5E"/>
    <w:rsid w:val="00F14554"/>
    <w:rsid w:val="00F6785F"/>
    <w:rsid w:val="00F74245"/>
    <w:rsid w:val="00F800FF"/>
    <w:rsid w:val="00F84014"/>
    <w:rsid w:val="00F976B5"/>
    <w:rsid w:val="00FA2152"/>
    <w:rsid w:val="00FB1B38"/>
    <w:rsid w:val="00FB3710"/>
    <w:rsid w:val="00FC397D"/>
    <w:rsid w:val="00FC682E"/>
    <w:rsid w:val="00FF5A72"/>
    <w:rsid w:val="35DF397B"/>
    <w:rsid w:val="5B504BB2"/>
    <w:rsid w:val="6F53B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A9A7"/>
  <w15:chartTrackingRefBased/>
  <w15:docId w15:val="{85E33D10-D025-4167-9B0C-68CBB09E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C48"/>
    <w:pPr>
      <w:spacing w:after="0" w:line="276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C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C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C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C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C4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C4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C4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C4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C48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C4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C4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C4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C4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C2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C4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C4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C2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C4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C2C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C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C4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C2C48"/>
    <w:rPr>
      <w:b/>
      <w:bCs/>
      <w:smallCaps/>
      <w:color w:val="0F4761" w:themeColor="accent1" w:themeShade="BF"/>
      <w:spacing w:val="5"/>
    </w:rPr>
  </w:style>
  <w:style w:type="paragraph" w:customStyle="1" w:styleId="Overskrift">
    <w:name w:val="Overskrift"/>
    <w:basedOn w:val="Normal"/>
    <w:link w:val="OverskriftChar"/>
    <w:autoRedefine/>
    <w:qFormat/>
    <w:rsid w:val="007C2C48"/>
    <w:pPr>
      <w:spacing w:before="360" w:line="240" w:lineRule="auto"/>
    </w:pPr>
    <w:rPr>
      <w:rFonts w:cs="Arial"/>
      <w:bCs/>
      <w:i/>
      <w:iCs/>
    </w:rPr>
  </w:style>
  <w:style w:type="character" w:customStyle="1" w:styleId="OverskriftChar">
    <w:name w:val="Overskrift Char"/>
    <w:basedOn w:val="DefaultParagraphFont"/>
    <w:link w:val="Overskrift"/>
    <w:rsid w:val="007C2C48"/>
    <w:rPr>
      <w:rFonts w:ascii="Times New Roman" w:hAnsi="Times New Roman" w:cs="Arial"/>
      <w:bCs/>
      <w:i/>
      <w:iCs/>
      <w:kern w:val="0"/>
      <w:sz w:val="24"/>
      <w14:ligatures w14:val="none"/>
    </w:rPr>
  </w:style>
  <w:style w:type="table" w:styleId="TableGridLight">
    <w:name w:val="Grid Table Light"/>
    <w:basedOn w:val="TableNormal"/>
    <w:uiPriority w:val="40"/>
    <w:rsid w:val="007C2C48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C2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C4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C48"/>
    <w:rPr>
      <w:rFonts w:ascii="Times New Roman" w:hAnsi="Times New Roman"/>
      <w:kern w:val="0"/>
      <w:sz w:val="24"/>
      <w:szCs w:val="20"/>
      <w14:ligatures w14:val="none"/>
    </w:rPr>
  </w:style>
  <w:style w:type="paragraph" w:customStyle="1" w:styleId="Style1">
    <w:name w:val="Style1"/>
    <w:basedOn w:val="Normal"/>
    <w:link w:val="Style1Char"/>
    <w:qFormat/>
    <w:rsid w:val="007C2C48"/>
    <w:rPr>
      <w:b/>
      <w:bCs/>
      <w:sz w:val="32"/>
      <w:szCs w:val="32"/>
    </w:rPr>
  </w:style>
  <w:style w:type="character" w:customStyle="1" w:styleId="Style1Char">
    <w:name w:val="Style1 Char"/>
    <w:basedOn w:val="DefaultParagraphFont"/>
    <w:link w:val="Style1"/>
    <w:rsid w:val="007C2C48"/>
    <w:rPr>
      <w:rFonts w:ascii="Times New Roman" w:hAnsi="Times New Roman"/>
      <w:b/>
      <w:bCs/>
      <w:kern w:val="0"/>
      <w:sz w:val="32"/>
      <w:szCs w:val="32"/>
      <w14:ligatures w14:val="none"/>
    </w:rPr>
  </w:style>
  <w:style w:type="paragraph" w:customStyle="1" w:styleId="Style2">
    <w:name w:val="Style2"/>
    <w:basedOn w:val="Style1"/>
    <w:link w:val="Style2Char"/>
    <w:qFormat/>
    <w:rsid w:val="007C2C48"/>
    <w:pPr>
      <w:numPr>
        <w:numId w:val="1"/>
      </w:numPr>
    </w:pPr>
    <w:rPr>
      <w:i/>
      <w:iCs/>
      <w:sz w:val="28"/>
      <w:szCs w:val="28"/>
    </w:rPr>
  </w:style>
  <w:style w:type="character" w:customStyle="1" w:styleId="Style2Char">
    <w:name w:val="Style2 Char"/>
    <w:basedOn w:val="Style1Char"/>
    <w:link w:val="Style2"/>
    <w:rsid w:val="007C2C48"/>
    <w:rPr>
      <w:rFonts w:ascii="Times New Roman" w:hAnsi="Times New Roman"/>
      <w:b/>
      <w:bCs/>
      <w:i/>
      <w:iCs/>
      <w:kern w:val="0"/>
      <w:sz w:val="28"/>
      <w:szCs w:val="28"/>
      <w14:ligatures w14:val="none"/>
    </w:rPr>
  </w:style>
  <w:style w:type="table" w:styleId="TableGrid">
    <w:name w:val="Table Grid"/>
    <w:basedOn w:val="TableNormal"/>
    <w:uiPriority w:val="39"/>
    <w:rsid w:val="007C2C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13F7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3F7C"/>
    <w:rPr>
      <w:rFonts w:ascii="Times New Roman" w:hAnsi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13F7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35B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BA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2FE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2FE"/>
    <w:rPr>
      <w:rFonts w:ascii="Times New Roman" w:hAnsi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2BFF1-4B52-4925-9475-877CA520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1676</Words>
  <Characters>10061</Characters>
  <Application>Microsoft Office Word</Application>
  <DocSecurity>0</DocSecurity>
  <Lines>245</Lines>
  <Paragraphs>108</Paragraphs>
  <ScaleCrop>false</ScaleCrop>
  <Company/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Ræstad</dc:creator>
  <cp:keywords/>
  <dc:description/>
  <cp:lastModifiedBy>Merete Ræstad</cp:lastModifiedBy>
  <cp:revision>2</cp:revision>
  <dcterms:created xsi:type="dcterms:W3CDTF">2025-12-16T13:32:00Z</dcterms:created>
  <dcterms:modified xsi:type="dcterms:W3CDTF">2025-12-16T13:32:00Z</dcterms:modified>
</cp:coreProperties>
</file>